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sz w:val="28"/>
          <w:szCs w:val="36"/>
          <w:lang w:eastAsia="zh-CN"/>
        </w:rPr>
      </w:pPr>
      <w:r>
        <w:rPr>
          <w:rFonts w:hint="eastAsia" w:ascii="宋体" w:hAnsi="宋体" w:eastAsia="宋体"/>
          <w:b/>
          <w:sz w:val="28"/>
          <w:szCs w:val="36"/>
        </w:rPr>
        <w:t xml:space="preserve">  2024年春校际联盟混合式跨专业选修课汇总表</w:t>
      </w:r>
    </w:p>
    <w:tbl>
      <w:tblPr>
        <w:tblStyle w:val="7"/>
        <w:tblW w:w="13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3240"/>
        <w:gridCol w:w="1000"/>
        <w:gridCol w:w="1920"/>
        <w:gridCol w:w="1740"/>
        <w:gridCol w:w="1530"/>
        <w:gridCol w:w="2440"/>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240" w:type="dxa"/>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课程名称</w:t>
            </w:r>
          </w:p>
        </w:tc>
        <w:tc>
          <w:tcPr>
            <w:tcW w:w="1000" w:type="dxa"/>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学时/</w:t>
            </w:r>
          </w:p>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学分</w:t>
            </w:r>
          </w:p>
        </w:tc>
        <w:tc>
          <w:tcPr>
            <w:tcW w:w="1920" w:type="dxa"/>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主讲人</w:t>
            </w:r>
          </w:p>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及职称</w:t>
            </w:r>
          </w:p>
        </w:tc>
        <w:tc>
          <w:tcPr>
            <w:tcW w:w="1740" w:type="dxa"/>
            <w:vAlign w:val="center"/>
          </w:tcPr>
          <w:p>
            <w:pPr>
              <w:adjustRightInd w:val="0"/>
              <w:snapToGrid w:val="0"/>
              <w:jc w:val="center"/>
              <w:rPr>
                <w:rFonts w:ascii="仿宋" w:hAnsi="仿宋" w:eastAsia="仿宋" w:cs="仿宋"/>
                <w:b/>
                <w:sz w:val="24"/>
                <w:szCs w:val="24"/>
              </w:rPr>
            </w:pPr>
            <w:r>
              <w:rPr>
                <w:rFonts w:hint="eastAsia" w:ascii="仿宋" w:hAnsi="仿宋" w:eastAsia="仿宋" w:cs="仿宋"/>
                <w:b/>
                <w:sz w:val="24"/>
                <w:szCs w:val="24"/>
              </w:rPr>
              <w:t>课程</w:t>
            </w:r>
          </w:p>
          <w:p>
            <w:pPr>
              <w:adjustRightInd w:val="0"/>
              <w:snapToGrid w:val="0"/>
              <w:jc w:val="center"/>
              <w:rPr>
                <w:rFonts w:ascii="仿宋" w:hAnsi="仿宋" w:eastAsia="仿宋" w:cs="仿宋"/>
                <w:b/>
                <w:bCs/>
                <w:sz w:val="24"/>
                <w:szCs w:val="24"/>
              </w:rPr>
            </w:pPr>
            <w:r>
              <w:rPr>
                <w:rFonts w:hint="eastAsia" w:ascii="仿宋" w:hAnsi="仿宋" w:eastAsia="仿宋" w:cs="仿宋"/>
                <w:b/>
                <w:sz w:val="24"/>
                <w:szCs w:val="24"/>
              </w:rPr>
              <w:t>QQ群</w:t>
            </w:r>
          </w:p>
        </w:tc>
        <w:tc>
          <w:tcPr>
            <w:tcW w:w="1530" w:type="dxa"/>
            <w:vAlign w:val="center"/>
          </w:tcPr>
          <w:p>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开课</w:t>
            </w:r>
          </w:p>
          <w:p>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平台</w:t>
            </w:r>
          </w:p>
        </w:tc>
        <w:tc>
          <w:tcPr>
            <w:tcW w:w="2440" w:type="dxa"/>
            <w:vAlign w:val="center"/>
          </w:tcPr>
          <w:p>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开课时间</w:t>
            </w:r>
          </w:p>
        </w:tc>
        <w:tc>
          <w:tcPr>
            <w:tcW w:w="984" w:type="dxa"/>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开课</w:t>
            </w:r>
          </w:p>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生活中的运筹学</w:t>
            </w:r>
          </w:p>
        </w:tc>
        <w:tc>
          <w:tcPr>
            <w:tcW w:w="1000" w:type="dxa"/>
            <w:vAlign w:val="center"/>
          </w:tcPr>
          <w:p>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吴凤平 教授</w:t>
            </w:r>
          </w:p>
          <w:p>
            <w:pPr>
              <w:adjustRightInd w:val="0"/>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仇蕾</w:t>
            </w:r>
            <w:r>
              <w:rPr>
                <w:rFonts w:hint="eastAsia" w:ascii="仿宋" w:hAnsi="仿宋" w:eastAsia="仿宋" w:cs="仿宋"/>
                <w:color w:val="auto"/>
                <w:szCs w:val="21"/>
                <w:highlight w:val="none"/>
              </w:rPr>
              <w:t xml:space="preserve"> 教授</w:t>
            </w:r>
          </w:p>
        </w:tc>
        <w:tc>
          <w:tcPr>
            <w:tcW w:w="1740" w:type="dxa"/>
            <w:vAlign w:val="center"/>
          </w:tcPr>
          <w:p>
            <w:pPr>
              <w:adjustRightInd w:val="0"/>
              <w:snapToGrid w:val="0"/>
              <w:jc w:val="center"/>
              <w:rPr>
                <w:rFonts w:ascii="仿宋" w:hAnsi="仿宋" w:eastAsia="仿宋" w:cs="仿宋"/>
                <w:color w:val="auto"/>
                <w:szCs w:val="21"/>
                <w:highlight w:val="none"/>
              </w:rPr>
            </w:pPr>
          </w:p>
        </w:tc>
        <w:tc>
          <w:tcPr>
            <w:tcW w:w="1530" w:type="dxa"/>
            <w:vAlign w:val="center"/>
          </w:tcPr>
          <w:p>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超星学习通</w:t>
            </w:r>
          </w:p>
        </w:tc>
        <w:tc>
          <w:tcPr>
            <w:tcW w:w="2440" w:type="dxa"/>
            <w:vAlign w:val="center"/>
          </w:tcPr>
          <w:p>
            <w:pPr>
              <w:adjustRightInd w:val="0"/>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2024.3.25-5.27</w:t>
            </w:r>
          </w:p>
        </w:tc>
        <w:tc>
          <w:tcPr>
            <w:tcW w:w="9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河海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灰色系统理论</w:t>
            </w:r>
          </w:p>
        </w:tc>
        <w:tc>
          <w:tcPr>
            <w:tcW w:w="1000" w:type="dxa"/>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32/2</w:t>
            </w:r>
          </w:p>
        </w:tc>
        <w:tc>
          <w:tcPr>
            <w:tcW w:w="1920" w:type="dxa"/>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刘思峰 教授</w:t>
            </w:r>
          </w:p>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谢乃明 教授</w:t>
            </w:r>
          </w:p>
        </w:tc>
        <w:tc>
          <w:tcPr>
            <w:tcW w:w="1740" w:type="dxa"/>
            <w:vAlign w:val="center"/>
          </w:tcPr>
          <w:p>
            <w:pPr>
              <w:jc w:val="center"/>
              <w:rPr>
                <w:rFonts w:ascii="仿宋" w:hAnsi="仿宋" w:eastAsia="仿宋" w:cs="仿宋"/>
                <w:color w:val="auto"/>
                <w:szCs w:val="21"/>
                <w:highlight w:val="none"/>
              </w:rPr>
            </w:pPr>
            <w:r>
              <w:rPr>
                <w:color w:val="auto"/>
                <w:highlight w:val="none"/>
              </w:rPr>
              <w:t>688614045</w:t>
            </w:r>
          </w:p>
        </w:tc>
        <w:tc>
          <w:tcPr>
            <w:tcW w:w="15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超星学习通</w:t>
            </w:r>
          </w:p>
        </w:tc>
        <w:tc>
          <w:tcPr>
            <w:tcW w:w="2440" w:type="dxa"/>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2024.4.1-2024.6.9</w:t>
            </w:r>
          </w:p>
        </w:tc>
        <w:tc>
          <w:tcPr>
            <w:tcW w:w="984"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南航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中国民歌</w:t>
            </w:r>
          </w:p>
        </w:tc>
        <w:tc>
          <w:tcPr>
            <w:tcW w:w="100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18/2</w:t>
            </w:r>
          </w:p>
        </w:tc>
        <w:tc>
          <w:tcPr>
            <w:tcW w:w="1920" w:type="dxa"/>
            <w:vAlign w:val="center"/>
          </w:tcPr>
          <w:p>
            <w:pPr>
              <w:widowControl/>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张娴</w:t>
            </w:r>
            <w:r>
              <w:rPr>
                <w:rFonts w:hint="eastAsia"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t>副教授</w:t>
            </w:r>
          </w:p>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胡行岗 副教授</w:t>
            </w:r>
          </w:p>
        </w:tc>
        <w:tc>
          <w:tcPr>
            <w:tcW w:w="1740" w:type="dxa"/>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群（一）674010988群（二）678020060</w:t>
            </w:r>
          </w:p>
        </w:tc>
        <w:tc>
          <w:tcPr>
            <w:tcW w:w="153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超星学习通</w:t>
            </w:r>
          </w:p>
        </w:tc>
        <w:tc>
          <w:tcPr>
            <w:tcW w:w="2440" w:type="dxa"/>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2024.4.1-2024.6.3</w:t>
            </w:r>
          </w:p>
        </w:tc>
        <w:tc>
          <w:tcPr>
            <w:tcW w:w="984"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中外城市公共艺术</w:t>
            </w:r>
          </w:p>
        </w:tc>
        <w:tc>
          <w:tcPr>
            <w:tcW w:w="100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18/2</w:t>
            </w:r>
          </w:p>
        </w:tc>
        <w:tc>
          <w:tcPr>
            <w:tcW w:w="192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孙欣 副教授</w:t>
            </w:r>
          </w:p>
        </w:tc>
        <w:tc>
          <w:tcPr>
            <w:tcW w:w="1740" w:type="dxa"/>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群（一）733747227（二）669660205</w:t>
            </w:r>
          </w:p>
        </w:tc>
        <w:tc>
          <w:tcPr>
            <w:tcW w:w="1530"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超星学习通</w:t>
            </w:r>
          </w:p>
        </w:tc>
        <w:tc>
          <w:tcPr>
            <w:tcW w:w="2440" w:type="dxa"/>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2024.4.1-2024.5.27</w:t>
            </w:r>
          </w:p>
        </w:tc>
        <w:tc>
          <w:tcPr>
            <w:tcW w:w="984"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森林食品资源学</w:t>
            </w:r>
          </w:p>
        </w:tc>
        <w:tc>
          <w:tcPr>
            <w:tcW w:w="100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李婷婷</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副教授</w:t>
            </w:r>
          </w:p>
        </w:tc>
        <w:tc>
          <w:tcPr>
            <w:tcW w:w="1740"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学习通讨论区</w:t>
            </w:r>
          </w:p>
        </w:tc>
        <w:tc>
          <w:tcPr>
            <w:tcW w:w="1530"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超星学习通</w:t>
            </w:r>
          </w:p>
        </w:tc>
        <w:tc>
          <w:tcPr>
            <w:tcW w:w="2440" w:type="dxa"/>
            <w:vAlign w:val="center"/>
          </w:tcPr>
          <w:p>
            <w:pPr>
              <w:widowControl/>
              <w:jc w:val="center"/>
              <w:textAlignment w:val="center"/>
              <w:rPr>
                <w:rFonts w:ascii="仿宋" w:hAnsi="仿宋" w:eastAsia="仿宋" w:cs="仿宋"/>
                <w:color w:val="auto"/>
                <w:kern w:val="0"/>
                <w:szCs w:val="21"/>
                <w:highlight w:val="none"/>
              </w:rPr>
            </w:pPr>
            <w:r>
              <w:rPr>
                <w:rFonts w:ascii="仿宋" w:hAnsi="仿宋" w:eastAsia="仿宋" w:cs="仿宋"/>
                <w:color w:val="auto"/>
                <w:szCs w:val="21"/>
                <w:highlight w:val="none"/>
              </w:rPr>
              <w:t>2024.4.1-2024.6.7</w:t>
            </w:r>
          </w:p>
        </w:tc>
        <w:tc>
          <w:tcPr>
            <w:tcW w:w="984"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南林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一带一路与全球健康</w:t>
            </w:r>
          </w:p>
        </w:tc>
        <w:tc>
          <w:tcPr>
            <w:tcW w:w="100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36/2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沈洪兵教授</w:t>
            </w:r>
          </w:p>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季旻珺教授</w:t>
            </w:r>
          </w:p>
        </w:tc>
        <w:tc>
          <w:tcPr>
            <w:tcW w:w="1740" w:type="dxa"/>
            <w:vAlign w:val="top"/>
          </w:tcPr>
          <w:p>
            <w:pPr>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678167920</w:t>
            </w:r>
          </w:p>
        </w:tc>
        <w:tc>
          <w:tcPr>
            <w:tcW w:w="1530" w:type="dxa"/>
            <w:vAlign w:val="top"/>
          </w:tcPr>
          <w:p>
            <w:pPr>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ascii="仿宋" w:hAnsi="仿宋" w:eastAsia="仿宋" w:cs="仿宋"/>
                <w:color w:val="auto"/>
                <w:szCs w:val="21"/>
                <w:highlight w:val="none"/>
              </w:rPr>
              <w:t>2024.3.15-6.15</w:t>
            </w:r>
          </w:p>
        </w:tc>
        <w:tc>
          <w:tcPr>
            <w:tcW w:w="984" w:type="dxa"/>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化妆品中的化学</w:t>
            </w:r>
          </w:p>
        </w:tc>
        <w:tc>
          <w:tcPr>
            <w:tcW w:w="100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0</w:t>
            </w:r>
            <w:r>
              <w:rPr>
                <w:rFonts w:hint="eastAsia" w:ascii="仿宋" w:hAnsi="仿宋" w:eastAsia="仿宋" w:cs="仿宋"/>
                <w:color w:val="auto"/>
                <w:szCs w:val="21"/>
                <w:highlight w:val="none"/>
              </w:rPr>
              <w:t>/</w:t>
            </w:r>
            <w:r>
              <w:rPr>
                <w:rFonts w:ascii="仿宋" w:hAnsi="仿宋" w:eastAsia="仿宋" w:cs="仿宋"/>
                <w:color w:val="auto"/>
                <w:szCs w:val="21"/>
                <w:highlight w:val="none"/>
              </w:rPr>
              <w:t>2</w:t>
            </w:r>
          </w:p>
        </w:tc>
        <w:tc>
          <w:tcPr>
            <w:tcW w:w="192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胡晔晨讲师</w:t>
            </w:r>
          </w:p>
        </w:tc>
        <w:tc>
          <w:tcPr>
            <w:tcW w:w="174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群（一）7</w:t>
            </w:r>
            <w:r>
              <w:rPr>
                <w:rFonts w:ascii="仿宋" w:hAnsi="仿宋" w:eastAsia="仿宋" w:cs="仿宋"/>
                <w:color w:val="auto"/>
                <w:szCs w:val="21"/>
                <w:highlight w:val="none"/>
              </w:rPr>
              <w:t>04154344</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群（二）</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26399679</w:t>
            </w:r>
          </w:p>
        </w:tc>
        <w:tc>
          <w:tcPr>
            <w:tcW w:w="1530"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ascii="仿宋" w:hAnsi="仿宋" w:eastAsia="仿宋" w:cs="仿宋"/>
                <w:color w:val="auto"/>
                <w:szCs w:val="21"/>
                <w:highlight w:val="none"/>
              </w:rPr>
              <w:t>2024.4.1-2024.5.30</w:t>
            </w:r>
          </w:p>
        </w:tc>
        <w:tc>
          <w:tcPr>
            <w:tcW w:w="984"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代谢与营养</w:t>
            </w:r>
          </w:p>
        </w:tc>
        <w:tc>
          <w:tcPr>
            <w:tcW w:w="100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0</w:t>
            </w:r>
            <w:r>
              <w:rPr>
                <w:rFonts w:hint="eastAsia" w:ascii="仿宋" w:hAnsi="仿宋" w:eastAsia="仿宋" w:cs="仿宋"/>
                <w:color w:val="auto"/>
                <w:szCs w:val="21"/>
                <w:highlight w:val="none"/>
              </w:rPr>
              <w:t>/</w:t>
            </w:r>
            <w:r>
              <w:rPr>
                <w:rFonts w:ascii="仿宋" w:hAnsi="仿宋" w:eastAsia="仿宋" w:cs="仿宋"/>
                <w:color w:val="auto"/>
                <w:szCs w:val="21"/>
                <w:highlight w:val="none"/>
              </w:rPr>
              <w:t>2</w:t>
            </w:r>
          </w:p>
        </w:tc>
        <w:tc>
          <w:tcPr>
            <w:tcW w:w="192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袁栎教授/陈园园副教授</w:t>
            </w:r>
          </w:p>
        </w:tc>
        <w:tc>
          <w:tcPr>
            <w:tcW w:w="17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5</w:t>
            </w:r>
            <w:r>
              <w:rPr>
                <w:rFonts w:ascii="仿宋" w:hAnsi="仿宋" w:eastAsia="仿宋" w:cs="仿宋"/>
                <w:color w:val="auto"/>
                <w:szCs w:val="21"/>
                <w:highlight w:val="none"/>
              </w:rPr>
              <w:t>92758743</w:t>
            </w:r>
          </w:p>
        </w:tc>
        <w:tc>
          <w:tcPr>
            <w:tcW w:w="153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hint="eastAsia" w:ascii="仿宋" w:hAnsi="仿宋" w:eastAsia="仿宋" w:cs="仿宋"/>
                <w:color w:val="auto"/>
                <w:szCs w:val="21"/>
                <w:highlight w:val="none"/>
              </w:rPr>
              <w:t>2024.3.18-2024.5.1</w:t>
            </w:r>
          </w:p>
        </w:tc>
        <w:tc>
          <w:tcPr>
            <w:tcW w:w="984"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人体解剖学</w:t>
            </w:r>
          </w:p>
        </w:tc>
        <w:tc>
          <w:tcPr>
            <w:tcW w:w="100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0/2</w:t>
            </w:r>
          </w:p>
        </w:tc>
        <w:tc>
          <w:tcPr>
            <w:tcW w:w="192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左一智副教授</w:t>
            </w:r>
          </w:p>
        </w:tc>
        <w:tc>
          <w:tcPr>
            <w:tcW w:w="17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465028205</w:t>
            </w:r>
          </w:p>
        </w:tc>
        <w:tc>
          <w:tcPr>
            <w:tcW w:w="153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ascii="仿宋" w:hAnsi="仿宋" w:eastAsia="仿宋" w:cs="仿宋"/>
                <w:color w:val="auto"/>
                <w:szCs w:val="21"/>
                <w:highlight w:val="none"/>
              </w:rPr>
              <w:t>2024.4.1-2024.6.7</w:t>
            </w:r>
          </w:p>
        </w:tc>
        <w:tc>
          <w:tcPr>
            <w:tcW w:w="984"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儿童保健学</w:t>
            </w:r>
          </w:p>
        </w:tc>
        <w:tc>
          <w:tcPr>
            <w:tcW w:w="100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27/2</w:t>
            </w:r>
          </w:p>
        </w:tc>
        <w:tc>
          <w:tcPr>
            <w:tcW w:w="1920"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李晓南教授</w:t>
            </w:r>
          </w:p>
        </w:tc>
        <w:tc>
          <w:tcPr>
            <w:tcW w:w="1740" w:type="dxa"/>
            <w:vAlign w:val="center"/>
          </w:tcPr>
          <w:p>
            <w:pPr>
              <w:widowControl/>
              <w:jc w:val="center"/>
              <w:textAlignment w:val="center"/>
              <w:rPr>
                <w:rFonts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QQ群</w:t>
            </w:r>
            <w:r>
              <w:rPr>
                <w:rFonts w:hint="eastAsia" w:ascii="仿宋" w:hAnsi="仿宋" w:eastAsia="仿宋" w:cs="仿宋"/>
                <w:color w:val="auto"/>
                <w:szCs w:val="21"/>
                <w:highlight w:val="none"/>
              </w:rPr>
              <w:t>2</w:t>
            </w:r>
            <w:r>
              <w:rPr>
                <w:rFonts w:ascii="仿宋" w:hAnsi="仿宋" w:eastAsia="仿宋" w:cs="仿宋"/>
                <w:color w:val="auto"/>
                <w:szCs w:val="21"/>
                <w:highlight w:val="none"/>
              </w:rPr>
              <w:t>29805487</w:t>
            </w:r>
          </w:p>
        </w:tc>
        <w:tc>
          <w:tcPr>
            <w:tcW w:w="1530"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ascii="仿宋" w:hAnsi="仿宋" w:eastAsia="仿宋" w:cs="仿宋"/>
                <w:color w:val="auto"/>
                <w:szCs w:val="21"/>
                <w:highlight w:val="none"/>
              </w:rPr>
              <w:t>2024.3.18-2024.5.31</w:t>
            </w:r>
          </w:p>
        </w:tc>
        <w:tc>
          <w:tcPr>
            <w:tcW w:w="984"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美容临床心理学</w:t>
            </w:r>
          </w:p>
        </w:tc>
        <w:tc>
          <w:tcPr>
            <w:tcW w:w="1000" w:type="dxa"/>
            <w:vAlign w:val="center"/>
          </w:tcPr>
          <w:p>
            <w:pPr>
              <w:snapToGrid w:val="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30/2</w:t>
            </w:r>
          </w:p>
        </w:tc>
        <w:tc>
          <w:tcPr>
            <w:tcW w:w="1920" w:type="dxa"/>
            <w:vAlign w:val="center"/>
          </w:tcPr>
          <w:p>
            <w:pPr>
              <w:snapToGrid w:val="0"/>
              <w:jc w:val="center"/>
              <w:textAlignment w:val="baseline"/>
              <w:rPr>
                <w:rFonts w:ascii="仿宋" w:hAnsi="仿宋" w:eastAsia="仿宋" w:cs="仿宋"/>
                <w:color w:val="auto"/>
                <w:szCs w:val="21"/>
                <w:highlight w:val="none"/>
              </w:rPr>
            </w:pPr>
            <w:r>
              <w:rPr>
                <w:rFonts w:hint="eastAsia" w:ascii="仿宋" w:hAnsi="仿宋" w:eastAsia="仿宋" w:cs="仿宋"/>
                <w:color w:val="auto"/>
                <w:szCs w:val="21"/>
                <w:highlight w:val="none"/>
              </w:rPr>
              <w:t>唐安</w:t>
            </w:r>
          </w:p>
          <w:p>
            <w:pPr>
              <w:snapToGrid w:val="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副主任医师</w:t>
            </w:r>
          </w:p>
        </w:tc>
        <w:tc>
          <w:tcPr>
            <w:tcW w:w="1740" w:type="dxa"/>
            <w:vAlign w:val="center"/>
          </w:tcPr>
          <w:p>
            <w:pPr>
              <w:snapToGrid w:val="0"/>
              <w:jc w:val="center"/>
              <w:textAlignment w:val="baseline"/>
              <w:rPr>
                <w:rFonts w:hint="default"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QQ:</w:t>
            </w:r>
            <w:r>
              <w:rPr>
                <w:rFonts w:hint="eastAsia" w:ascii="仿宋" w:hAnsi="仿宋" w:eastAsia="仿宋" w:cs="仿宋"/>
                <w:color w:val="auto"/>
                <w:szCs w:val="21"/>
                <w:highlight w:val="none"/>
                <w:lang w:val="en-US" w:eastAsia="zh-CN"/>
              </w:rPr>
              <w:t>679821940</w:t>
            </w:r>
          </w:p>
        </w:tc>
        <w:tc>
          <w:tcPr>
            <w:tcW w:w="1530" w:type="dxa"/>
            <w:vAlign w:val="center"/>
          </w:tcPr>
          <w:p>
            <w:pPr>
              <w:snapToGrid w:val="0"/>
              <w:jc w:val="center"/>
              <w:textAlignment w:val="baseline"/>
              <w:rPr>
                <w:rFonts w:hint="eastAsia" w:ascii="仿宋" w:hAnsi="仿宋" w:eastAsia="仿宋" w:cs="仿宋"/>
                <w:color w:val="auto"/>
                <w:kern w:val="2"/>
                <w:sz w:val="21"/>
                <w:szCs w:val="21"/>
                <w:highlight w:val="none"/>
                <w:lang w:val="en-US" w:eastAsia="zh-CN" w:bidi="ar-SA"/>
              </w:rPr>
            </w:pPr>
            <w:r>
              <w:rPr>
                <w:rFonts w:hint="eastAsia"/>
                <w:color w:val="auto"/>
                <w:szCs w:val="21"/>
                <w:highlight w:val="none"/>
              </w:rPr>
              <w:t>超星学习通</w:t>
            </w:r>
          </w:p>
        </w:tc>
        <w:tc>
          <w:tcPr>
            <w:tcW w:w="2440" w:type="dxa"/>
            <w:vAlign w:val="center"/>
          </w:tcPr>
          <w:p>
            <w:pPr>
              <w:jc w:val="center"/>
              <w:rPr>
                <w:rFonts w:asciiTheme="minorHAnsi" w:hAnsiTheme="minorHAnsi" w:eastAsiaTheme="minorEastAsia" w:cstheme="minorBidi"/>
                <w:color w:val="auto"/>
                <w:kern w:val="2"/>
                <w:sz w:val="21"/>
                <w:szCs w:val="21"/>
                <w:highlight w:val="none"/>
                <w:lang w:val="en-US" w:eastAsia="zh-CN" w:bidi="ar-SA"/>
              </w:rPr>
            </w:pPr>
            <w:r>
              <w:rPr>
                <w:rFonts w:ascii="仿宋" w:hAnsi="仿宋" w:eastAsia="仿宋" w:cs="仿宋"/>
                <w:color w:val="auto"/>
                <w:szCs w:val="21"/>
                <w:highlight w:val="none"/>
              </w:rPr>
              <w:t>2024.4.1-2024.6.7</w:t>
            </w:r>
          </w:p>
        </w:tc>
        <w:tc>
          <w:tcPr>
            <w:tcW w:w="984" w:type="dxa"/>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南医</w:t>
            </w:r>
            <w:r>
              <w:rPr>
                <w:rFonts w:hint="eastAsia" w:ascii="仿宋" w:hAnsi="仿宋" w:eastAsia="仿宋" w:cs="仿宋"/>
                <w:color w:val="auto"/>
                <w:szCs w:val="21"/>
                <w:highlight w:val="none"/>
                <w:lang w:eastAsia="zh-CN"/>
              </w:rPr>
              <w:t>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中药与美容</w:t>
            </w:r>
          </w:p>
        </w:tc>
        <w:tc>
          <w:tcPr>
            <w:tcW w:w="1000" w:type="dxa"/>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34/2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邓雪阳 副教授</w:t>
            </w:r>
          </w:p>
        </w:tc>
        <w:tc>
          <w:tcPr>
            <w:tcW w:w="17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QQ:1065876227</w:t>
            </w:r>
          </w:p>
        </w:tc>
        <w:tc>
          <w:tcPr>
            <w:tcW w:w="153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超星学习通</w:t>
            </w:r>
          </w:p>
        </w:tc>
        <w:tc>
          <w:tcPr>
            <w:tcW w:w="24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2024.4.1-2024.5.26</w:t>
            </w:r>
          </w:p>
        </w:tc>
        <w:tc>
          <w:tcPr>
            <w:tcW w:w="9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药大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ind w:firstLine="1050" w:firstLineChars="5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走近名医</w:t>
            </w:r>
          </w:p>
        </w:tc>
        <w:tc>
          <w:tcPr>
            <w:tcW w:w="100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孙丽霞 副教授</w:t>
            </w:r>
          </w:p>
        </w:tc>
        <w:tc>
          <w:tcPr>
            <w:tcW w:w="17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QQ</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684736135</w:t>
            </w:r>
          </w:p>
        </w:tc>
        <w:tc>
          <w:tcPr>
            <w:tcW w:w="153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超星学习通</w:t>
            </w:r>
          </w:p>
        </w:tc>
        <w:tc>
          <w:tcPr>
            <w:tcW w:w="2440" w:type="dxa"/>
            <w:vAlign w:val="center"/>
          </w:tcPr>
          <w:p>
            <w:pPr>
              <w:snapToGrid w:val="0"/>
              <w:jc w:val="center"/>
              <w:rPr>
                <w:rFonts w:ascii="仿宋" w:hAnsi="仿宋" w:eastAsia="仿宋" w:cs="仿宋"/>
                <w:color w:val="auto"/>
                <w:kern w:val="2"/>
                <w:sz w:val="21"/>
                <w:szCs w:val="21"/>
                <w:highlight w:val="none"/>
                <w:lang w:val="en-US" w:eastAsia="zh-CN" w:bidi="ar-SA"/>
              </w:rPr>
            </w:pPr>
            <w:r>
              <w:rPr>
                <w:rFonts w:ascii="仿宋" w:hAnsi="仿宋" w:eastAsia="仿宋" w:cs="仿宋"/>
                <w:color w:val="auto"/>
                <w:szCs w:val="21"/>
                <w:highlight w:val="none"/>
              </w:rPr>
              <w:t>2024.03.11</w:t>
            </w:r>
            <w:r>
              <w:rPr>
                <w:rFonts w:hint="eastAsia" w:ascii="仿宋" w:hAnsi="仿宋" w:eastAsia="仿宋" w:cs="仿宋"/>
                <w:color w:val="auto"/>
                <w:szCs w:val="21"/>
                <w:highlight w:val="none"/>
              </w:rPr>
              <w:t>-</w:t>
            </w:r>
            <w:r>
              <w:rPr>
                <w:rFonts w:ascii="仿宋" w:hAnsi="仿宋" w:eastAsia="仿宋" w:cs="仿宋"/>
                <w:color w:val="auto"/>
                <w:szCs w:val="21"/>
                <w:highlight w:val="none"/>
              </w:rPr>
              <w:t>2024.6.07</w:t>
            </w:r>
          </w:p>
        </w:tc>
        <w:tc>
          <w:tcPr>
            <w:tcW w:w="9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南中医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szCs w:val="21"/>
                <w:highlight w:val="none"/>
              </w:rPr>
            </w:pPr>
            <w:bookmarkStart w:id="0" w:name="_Hlk152769940"/>
            <w:r>
              <w:rPr>
                <w:rFonts w:hint="eastAsia" w:ascii="仿宋" w:hAnsi="仿宋" w:eastAsia="仿宋" w:cs="仿宋"/>
                <w:color w:val="auto"/>
                <w:szCs w:val="21"/>
                <w:highlight w:val="none"/>
              </w:rPr>
              <w:t>现代文学经典改编影片鉴赏</w:t>
            </w:r>
            <w:bookmarkEnd w:id="0"/>
          </w:p>
        </w:tc>
        <w:tc>
          <w:tcPr>
            <w:tcW w:w="100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初清华 教授</w:t>
            </w:r>
          </w:p>
        </w:tc>
        <w:tc>
          <w:tcPr>
            <w:tcW w:w="17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QQ673318993</w:t>
            </w:r>
          </w:p>
        </w:tc>
        <w:tc>
          <w:tcPr>
            <w:tcW w:w="153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超星学习通</w:t>
            </w:r>
          </w:p>
        </w:tc>
        <w:tc>
          <w:tcPr>
            <w:tcW w:w="24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2024.4.2-2024.6.3</w:t>
            </w:r>
          </w:p>
        </w:tc>
        <w:tc>
          <w:tcPr>
            <w:tcW w:w="984"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南信大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美从何处寻——在艺术和生活中体验美</w:t>
            </w:r>
          </w:p>
        </w:tc>
        <w:tc>
          <w:tcPr>
            <w:tcW w:w="100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马凌燕 副教授</w:t>
            </w:r>
          </w:p>
        </w:tc>
        <w:tc>
          <w:tcPr>
            <w:tcW w:w="1740" w:type="dxa"/>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QQ519955650</w:t>
            </w:r>
          </w:p>
        </w:tc>
        <w:tc>
          <w:tcPr>
            <w:tcW w:w="1530" w:type="dxa"/>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超星学习通</w:t>
            </w:r>
          </w:p>
        </w:tc>
        <w:tc>
          <w:tcPr>
            <w:tcW w:w="2440" w:type="dxa"/>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2024.4.4</w:t>
            </w:r>
            <w:r>
              <w:rPr>
                <w:rFonts w:hint="eastAsia" w:ascii="仿宋" w:hAnsi="仿宋" w:eastAsia="仿宋" w:cs="仿宋"/>
                <w:color w:val="auto"/>
                <w:szCs w:val="21"/>
                <w:highlight w:val="none"/>
              </w:rPr>
              <w:t>-</w:t>
            </w:r>
            <w:r>
              <w:rPr>
                <w:rFonts w:ascii="仿宋" w:hAnsi="仿宋" w:eastAsia="仿宋" w:cs="仿宋"/>
                <w:color w:val="auto"/>
                <w:szCs w:val="21"/>
                <w:highlight w:val="none"/>
              </w:rPr>
              <w:t>2024.6.6</w:t>
            </w:r>
          </w:p>
        </w:tc>
        <w:tc>
          <w:tcPr>
            <w:tcW w:w="984"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南信大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市场调查与研究</w:t>
            </w:r>
          </w:p>
        </w:tc>
        <w:tc>
          <w:tcPr>
            <w:tcW w:w="100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雷晶 副教授</w:t>
            </w:r>
          </w:p>
        </w:tc>
        <w:tc>
          <w:tcPr>
            <w:tcW w:w="1740"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755957581</w:t>
            </w:r>
          </w:p>
        </w:tc>
        <w:tc>
          <w:tcPr>
            <w:tcW w:w="1530" w:type="dxa"/>
            <w:shd w:val="clear" w:color="auto" w:fill="auto"/>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超星学习通</w:t>
            </w:r>
          </w:p>
        </w:tc>
        <w:tc>
          <w:tcPr>
            <w:tcW w:w="2440" w:type="dxa"/>
            <w:shd w:val="clear" w:color="auto" w:fill="auto"/>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2024.3.4-2024.6.17</w:t>
            </w:r>
          </w:p>
        </w:tc>
        <w:tc>
          <w:tcPr>
            <w:tcW w:w="984"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南邮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谈天说“地”——解析地球科学</w:t>
            </w:r>
          </w:p>
        </w:tc>
        <w:tc>
          <w:tcPr>
            <w:tcW w:w="100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192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徐继山 副教授</w:t>
            </w:r>
          </w:p>
        </w:tc>
        <w:tc>
          <w:tcPr>
            <w:tcW w:w="17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QQ:1025433804</w:t>
            </w:r>
          </w:p>
        </w:tc>
        <w:tc>
          <w:tcPr>
            <w:tcW w:w="15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中国大学MOOC</w:t>
            </w:r>
          </w:p>
        </w:tc>
        <w:tc>
          <w:tcPr>
            <w:tcW w:w="24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2024</w:t>
            </w:r>
            <w:r>
              <w:rPr>
                <w:rFonts w:hint="eastAsia" w:ascii="仿宋" w:hAnsi="仿宋" w:eastAsia="仿宋" w:cs="仿宋"/>
                <w:color w:val="auto"/>
                <w:szCs w:val="21"/>
                <w:highlight w:val="none"/>
              </w:rPr>
              <w:t>.</w:t>
            </w:r>
            <w:r>
              <w:rPr>
                <w:rFonts w:ascii="仿宋" w:hAnsi="仿宋" w:eastAsia="仿宋" w:cs="仿宋"/>
                <w:color w:val="auto"/>
                <w:szCs w:val="21"/>
                <w:highlight w:val="none"/>
              </w:rPr>
              <w:t>2</w:t>
            </w:r>
            <w:r>
              <w:rPr>
                <w:rFonts w:hint="eastAsia" w:ascii="仿宋" w:hAnsi="仿宋" w:eastAsia="仿宋" w:cs="仿宋"/>
                <w:color w:val="auto"/>
                <w:szCs w:val="21"/>
                <w:highlight w:val="none"/>
              </w:rPr>
              <w:t>.</w:t>
            </w:r>
            <w:r>
              <w:rPr>
                <w:rFonts w:ascii="仿宋" w:hAnsi="仿宋" w:eastAsia="仿宋" w:cs="仿宋"/>
                <w:color w:val="auto"/>
                <w:szCs w:val="21"/>
                <w:highlight w:val="none"/>
              </w:rPr>
              <w:t>26-2024.5</w:t>
            </w:r>
            <w:r>
              <w:rPr>
                <w:rFonts w:hint="eastAsia" w:ascii="仿宋" w:hAnsi="仿宋" w:eastAsia="仿宋" w:cs="仿宋"/>
                <w:color w:val="auto"/>
                <w:szCs w:val="21"/>
                <w:highlight w:val="none"/>
              </w:rPr>
              <w:t>.</w:t>
            </w:r>
            <w:r>
              <w:rPr>
                <w:rFonts w:ascii="仿宋" w:hAnsi="仿宋" w:eastAsia="仿宋" w:cs="仿宋"/>
                <w:color w:val="auto"/>
                <w:szCs w:val="21"/>
                <w:highlight w:val="none"/>
              </w:rPr>
              <w:t>26</w:t>
            </w:r>
          </w:p>
        </w:tc>
        <w:tc>
          <w:tcPr>
            <w:tcW w:w="9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矿大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高分子：产品设计新灵感</w:t>
            </w:r>
          </w:p>
        </w:tc>
        <w:tc>
          <w:tcPr>
            <w:tcW w:w="100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2/2</w:t>
            </w:r>
          </w:p>
        </w:tc>
        <w:tc>
          <w:tcPr>
            <w:tcW w:w="192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车剑飞 教授</w:t>
            </w:r>
          </w:p>
        </w:tc>
        <w:tc>
          <w:tcPr>
            <w:tcW w:w="17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QQ：626945407</w:t>
            </w:r>
          </w:p>
        </w:tc>
        <w:tc>
          <w:tcPr>
            <w:tcW w:w="153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超星泛雅</w:t>
            </w:r>
          </w:p>
        </w:tc>
        <w:tc>
          <w:tcPr>
            <w:tcW w:w="24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2024.3.19-2024.5.31</w:t>
            </w:r>
          </w:p>
        </w:tc>
        <w:tc>
          <w:tcPr>
            <w:tcW w:w="9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南理工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bookmarkStart w:id="1" w:name="_Hlk152769459"/>
          </w:p>
        </w:tc>
        <w:tc>
          <w:tcPr>
            <w:tcW w:w="3240" w:type="dxa"/>
            <w:vAlign w:val="center"/>
          </w:tcPr>
          <w:p>
            <w:pPr>
              <w:jc w:val="center"/>
              <w:rPr>
                <w:rFonts w:ascii="仿宋" w:hAnsi="仿宋" w:eastAsia="仿宋" w:cs="仿宋"/>
                <w:color w:val="auto"/>
                <w:szCs w:val="21"/>
                <w:highlight w:val="none"/>
              </w:rPr>
            </w:pPr>
            <w:bookmarkStart w:id="2" w:name="_Hlk152769470"/>
            <w:r>
              <w:rPr>
                <w:rFonts w:ascii="仿宋" w:hAnsi="仿宋" w:eastAsia="仿宋" w:cs="仿宋"/>
                <w:color w:val="auto"/>
                <w:szCs w:val="21"/>
                <w:highlight w:val="none"/>
                <w:lang w:bidi="ar"/>
              </w:rPr>
              <w:t>走近机器人</w:t>
            </w:r>
            <w:bookmarkEnd w:id="2"/>
          </w:p>
        </w:tc>
        <w:tc>
          <w:tcPr>
            <w:tcW w:w="100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32/2</w:t>
            </w:r>
          </w:p>
        </w:tc>
        <w:tc>
          <w:tcPr>
            <w:tcW w:w="192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刘娣　教授</w:t>
            </w:r>
          </w:p>
        </w:tc>
        <w:tc>
          <w:tcPr>
            <w:tcW w:w="17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QQ群683192601</w:t>
            </w:r>
          </w:p>
        </w:tc>
        <w:tc>
          <w:tcPr>
            <w:tcW w:w="153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超星学习通</w:t>
            </w:r>
          </w:p>
        </w:tc>
        <w:tc>
          <w:tcPr>
            <w:tcW w:w="244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2024</w:t>
            </w:r>
            <w:r>
              <w:rPr>
                <w:rFonts w:hint="eastAsia" w:ascii="仿宋" w:hAnsi="仿宋" w:eastAsia="仿宋" w:cs="仿宋"/>
                <w:color w:val="auto"/>
                <w:szCs w:val="21"/>
                <w:highlight w:val="none"/>
              </w:rPr>
              <w:t>.</w:t>
            </w:r>
            <w:r>
              <w:rPr>
                <w:rFonts w:ascii="仿宋" w:hAnsi="仿宋" w:eastAsia="仿宋" w:cs="仿宋"/>
                <w:color w:val="auto"/>
                <w:szCs w:val="21"/>
                <w:highlight w:val="none"/>
              </w:rPr>
              <w:t>4</w:t>
            </w:r>
            <w:r>
              <w:rPr>
                <w:rFonts w:hint="eastAsia" w:ascii="仿宋" w:hAnsi="仿宋" w:eastAsia="仿宋" w:cs="仿宋"/>
                <w:color w:val="auto"/>
                <w:szCs w:val="21"/>
                <w:highlight w:val="none"/>
              </w:rPr>
              <w:t>.</w:t>
            </w:r>
            <w:r>
              <w:rPr>
                <w:rFonts w:ascii="仿宋" w:hAnsi="仿宋" w:eastAsia="仿宋" w:cs="仿宋"/>
                <w:color w:val="auto"/>
                <w:szCs w:val="21"/>
                <w:highlight w:val="none"/>
              </w:rPr>
              <w:t>8-2024.5</w:t>
            </w:r>
            <w:r>
              <w:rPr>
                <w:rFonts w:hint="eastAsia" w:ascii="仿宋" w:hAnsi="仿宋" w:eastAsia="仿宋" w:cs="仿宋"/>
                <w:color w:val="auto"/>
                <w:szCs w:val="21"/>
                <w:highlight w:val="none"/>
              </w:rPr>
              <w:t>.</w:t>
            </w:r>
            <w:r>
              <w:rPr>
                <w:rFonts w:ascii="仿宋" w:hAnsi="仿宋" w:eastAsia="仿宋" w:cs="仿宋"/>
                <w:color w:val="auto"/>
                <w:szCs w:val="21"/>
                <w:highlight w:val="none"/>
              </w:rPr>
              <w:t>30</w:t>
            </w:r>
          </w:p>
        </w:tc>
        <w:tc>
          <w:tcPr>
            <w:tcW w:w="984"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南工程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17" w:type="dxa"/>
            <w:vAlign w:val="center"/>
          </w:tcPr>
          <w:p>
            <w:pPr>
              <w:numPr>
                <w:ilvl w:val="0"/>
                <w:numId w:val="1"/>
              </w:numPr>
              <w:snapToGrid w:val="0"/>
              <w:jc w:val="center"/>
              <w:rPr>
                <w:rFonts w:ascii="仿宋" w:hAnsi="仿宋" w:eastAsia="仿宋" w:cs="仿宋"/>
                <w:color w:val="auto"/>
                <w:szCs w:val="21"/>
                <w:highlight w:val="none"/>
              </w:rPr>
            </w:pPr>
          </w:p>
        </w:tc>
        <w:tc>
          <w:tcPr>
            <w:tcW w:w="3240" w:type="dxa"/>
            <w:vAlign w:val="center"/>
          </w:tcPr>
          <w:p>
            <w:pPr>
              <w:jc w:val="center"/>
              <w:rPr>
                <w:rFonts w:ascii="仿宋" w:hAnsi="仿宋" w:eastAsia="仿宋" w:cs="仿宋"/>
                <w:color w:val="auto"/>
                <w:szCs w:val="21"/>
                <w:highlight w:val="none"/>
                <w:lang w:bidi="ar"/>
              </w:rPr>
            </w:pPr>
            <w:bookmarkStart w:id="3" w:name="_Hlk152769479"/>
            <w:r>
              <w:rPr>
                <w:rFonts w:ascii="仿宋" w:hAnsi="仿宋" w:eastAsia="仿宋" w:cs="仿宋"/>
                <w:color w:val="auto"/>
                <w:szCs w:val="21"/>
                <w:highlight w:val="none"/>
                <w:lang w:bidi="ar"/>
              </w:rPr>
              <w:t>智造系统大数据分析导论</w:t>
            </w:r>
            <w:bookmarkEnd w:id="3"/>
          </w:p>
        </w:tc>
        <w:tc>
          <w:tcPr>
            <w:tcW w:w="100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32/2</w:t>
            </w:r>
          </w:p>
        </w:tc>
        <w:tc>
          <w:tcPr>
            <w:tcW w:w="1920"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邱胜海　副教授</w:t>
            </w:r>
          </w:p>
        </w:tc>
        <w:tc>
          <w:tcPr>
            <w:tcW w:w="174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725529416</w:t>
            </w:r>
          </w:p>
        </w:tc>
        <w:tc>
          <w:tcPr>
            <w:tcW w:w="1530" w:type="dxa"/>
            <w:shd w:val="clear" w:color="auto" w:fill="auto"/>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超星学习通</w:t>
            </w:r>
          </w:p>
        </w:tc>
        <w:tc>
          <w:tcPr>
            <w:tcW w:w="2440" w:type="dxa"/>
            <w:shd w:val="clear" w:color="auto" w:fill="auto"/>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2024</w:t>
            </w:r>
            <w:r>
              <w:rPr>
                <w:rFonts w:hint="eastAsia" w:ascii="仿宋" w:hAnsi="仿宋" w:eastAsia="仿宋" w:cs="仿宋"/>
                <w:color w:val="auto"/>
                <w:szCs w:val="21"/>
                <w:highlight w:val="none"/>
              </w:rPr>
              <w:t>.</w:t>
            </w:r>
            <w:r>
              <w:rPr>
                <w:rFonts w:ascii="仿宋" w:hAnsi="仿宋" w:eastAsia="仿宋" w:cs="仿宋"/>
                <w:color w:val="auto"/>
                <w:szCs w:val="21"/>
                <w:highlight w:val="none"/>
              </w:rPr>
              <w:t>4</w:t>
            </w:r>
            <w:r>
              <w:rPr>
                <w:rFonts w:hint="eastAsia" w:ascii="仿宋" w:hAnsi="仿宋" w:eastAsia="仿宋" w:cs="仿宋"/>
                <w:color w:val="auto"/>
                <w:szCs w:val="21"/>
                <w:highlight w:val="none"/>
              </w:rPr>
              <w:t>.</w:t>
            </w:r>
            <w:r>
              <w:rPr>
                <w:rFonts w:ascii="仿宋" w:hAnsi="仿宋" w:eastAsia="仿宋" w:cs="仿宋"/>
                <w:color w:val="auto"/>
                <w:szCs w:val="21"/>
                <w:highlight w:val="none"/>
              </w:rPr>
              <w:t>8-2024.5</w:t>
            </w:r>
            <w:r>
              <w:rPr>
                <w:rFonts w:hint="eastAsia" w:ascii="仿宋" w:hAnsi="仿宋" w:eastAsia="仿宋" w:cs="仿宋"/>
                <w:color w:val="auto"/>
                <w:szCs w:val="21"/>
                <w:highlight w:val="none"/>
              </w:rPr>
              <w:t>.</w:t>
            </w:r>
            <w:r>
              <w:rPr>
                <w:rFonts w:ascii="仿宋" w:hAnsi="仿宋" w:eastAsia="仿宋" w:cs="仿宋"/>
                <w:color w:val="auto"/>
                <w:szCs w:val="21"/>
                <w:highlight w:val="none"/>
              </w:rPr>
              <w:t>30</w:t>
            </w:r>
          </w:p>
        </w:tc>
        <w:tc>
          <w:tcPr>
            <w:tcW w:w="984" w:type="dxa"/>
            <w:shd w:val="clear" w:color="auto" w:fill="auto"/>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南工程</w:t>
            </w:r>
          </w:p>
        </w:tc>
      </w:tr>
      <w:bookmarkEnd w:id="1"/>
    </w:tbl>
    <w:p/>
    <w:p/>
    <w:p/>
    <w:p/>
    <w:p/>
    <w:p/>
    <w:p/>
    <w:p/>
    <w:p/>
    <w:p/>
    <w:p/>
    <w:p/>
    <w:p/>
    <w:p/>
    <w:p/>
    <w:p/>
    <w:p/>
    <w:p>
      <w:pPr>
        <w:sectPr>
          <w:footerReference r:id="rId3" w:type="default"/>
          <w:pgSz w:w="16838" w:h="11906" w:orient="landscape"/>
          <w:pgMar w:top="669" w:right="1440" w:bottom="669" w:left="1440" w:header="851" w:footer="992" w:gutter="0"/>
          <w:cols w:space="0" w:num="1"/>
          <w:rtlGutter w:val="0"/>
          <w:docGrid w:type="lines" w:linePitch="312" w:charSpace="0"/>
        </w:sectPr>
      </w:pPr>
    </w:p>
    <w:p>
      <w:pPr>
        <w:adjustRightInd w:val="0"/>
        <w:snapToGrid w:val="0"/>
        <w:spacing w:line="600" w:lineRule="exact"/>
        <w:jc w:val="center"/>
        <w:rPr>
          <w:rFonts w:hint="eastAsia" w:ascii="宋体" w:hAnsi="宋体"/>
          <w:b/>
          <w:sz w:val="40"/>
          <w:szCs w:val="40"/>
        </w:rPr>
      </w:pPr>
      <w:r>
        <w:rPr>
          <w:rFonts w:hint="eastAsia" w:ascii="宋体" w:hAnsi="宋体"/>
          <w:b/>
          <w:sz w:val="40"/>
          <w:szCs w:val="40"/>
        </w:rPr>
        <w:t>江苏省高校混合式精品通识课程联盟</w:t>
      </w:r>
    </w:p>
    <w:p>
      <w:pPr>
        <w:adjustRightInd w:val="0"/>
        <w:snapToGrid w:val="0"/>
        <w:spacing w:line="600" w:lineRule="exact"/>
        <w:jc w:val="center"/>
        <w:rPr>
          <w:rFonts w:ascii="宋体" w:hAnsi="宋体"/>
          <w:b/>
          <w:sz w:val="40"/>
          <w:szCs w:val="40"/>
        </w:rPr>
      </w:pPr>
      <w:r>
        <w:rPr>
          <w:rFonts w:hint="default" w:ascii="宋体" w:hAnsi="宋体"/>
          <w:b/>
          <w:sz w:val="40"/>
          <w:szCs w:val="40"/>
        </w:rPr>
        <w:t>2024年春开设</w:t>
      </w:r>
      <w:r>
        <w:rPr>
          <w:rFonts w:hint="eastAsia" w:ascii="宋体" w:hAnsi="宋体"/>
          <w:b/>
          <w:sz w:val="40"/>
          <w:szCs w:val="40"/>
        </w:rPr>
        <w:t>课程</w:t>
      </w:r>
      <w:r>
        <w:rPr>
          <w:rFonts w:ascii="宋体" w:hAnsi="宋体"/>
          <w:b/>
          <w:sz w:val="40"/>
          <w:szCs w:val="40"/>
        </w:rPr>
        <w:t>简介</w:t>
      </w:r>
    </w:p>
    <w:p>
      <w:pPr>
        <w:adjustRightInd w:val="0"/>
        <w:snapToGrid w:val="0"/>
        <w:spacing w:line="600" w:lineRule="exact"/>
        <w:jc w:val="left"/>
        <w:rPr>
          <w:rFonts w:hint="default" w:ascii="Times New Roman" w:hAnsi="Times New Roman" w:eastAsia="仿宋_GB2312"/>
          <w:b w:val="0"/>
          <w:bCs w:val="0"/>
          <w:sz w:val="28"/>
          <w:szCs w:val="28"/>
          <w:lang w:eastAsia="zh-CN"/>
        </w:rPr>
      </w:pPr>
      <w:r>
        <w:rPr>
          <w:rFonts w:hint="eastAsia" w:ascii="Times New Roman" w:hAnsi="Times New Roman" w:eastAsia="黑体"/>
          <w:b/>
          <w:sz w:val="28"/>
          <w:szCs w:val="28"/>
        </w:rPr>
        <w:t>一、</w:t>
      </w:r>
      <w:r>
        <w:rPr>
          <w:rFonts w:ascii="Times New Roman" w:hAnsi="Times New Roman" w:eastAsia="黑体"/>
          <w:b/>
          <w:sz w:val="28"/>
          <w:szCs w:val="28"/>
        </w:rPr>
        <w:t>河海大学</w:t>
      </w:r>
      <w:r>
        <w:rPr>
          <w:rFonts w:hint="eastAsia" w:ascii="Times New Roman" w:hAnsi="Times New Roman" w:eastAsia="黑体"/>
          <w:b/>
          <w:sz w:val="28"/>
          <w:szCs w:val="28"/>
          <w:lang w:val="en-US" w:eastAsia="zh-CN"/>
        </w:rPr>
        <w:t xml:space="preserve"> </w:t>
      </w:r>
    </w:p>
    <w:p>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lang w:val="en-US" w:eastAsia="zh-CN"/>
        </w:rPr>
        <w:t xml:space="preserve">1. </w:t>
      </w:r>
      <w:r>
        <w:rPr>
          <w:rFonts w:hint="eastAsia" w:ascii="Times New Roman" w:hAnsi="Times New Roman" w:eastAsia="黑体"/>
          <w:b/>
          <w:sz w:val="28"/>
          <w:szCs w:val="28"/>
        </w:rPr>
        <w:t>生活中的运筹学</w:t>
      </w:r>
      <w:r>
        <w:rPr>
          <w:rFonts w:hint="eastAsia" w:ascii="Times New Roman" w:hAnsi="Times New Roman" w:eastAsia="黑体"/>
          <w:b/>
          <w:sz w:val="28"/>
          <w:szCs w:val="28"/>
          <w:lang w:eastAsia="zh-CN"/>
        </w:rPr>
        <w:t>（Operations Research in Life）</w:t>
      </w:r>
    </w:p>
    <w:p>
      <w:pPr>
        <w:adjustRightInd w:val="0"/>
        <w:snapToGrid w:val="0"/>
        <w:spacing w:line="600" w:lineRule="exact"/>
        <w:ind w:firstLine="562" w:firstLineChars="200"/>
        <w:jc w:val="left"/>
        <w:rPr>
          <w:rFonts w:hint="default" w:ascii="Times New Roman" w:hAnsi="Times New Roman" w:eastAsia="仿宋_GB2312"/>
          <w:b/>
          <w:sz w:val="28"/>
          <w:szCs w:val="28"/>
        </w:rPr>
      </w:pPr>
      <w:r>
        <w:rPr>
          <w:rFonts w:hint="eastAsia" w:ascii="Times New Roman" w:hAnsi="Times New Roman" w:eastAsia="仿宋_GB2312"/>
          <w:b/>
          <w:bCs/>
          <w:sz w:val="28"/>
          <w:szCs w:val="28"/>
          <w:lang w:eastAsia="zh-CN"/>
        </w:rPr>
        <w:t>课程网址：</w:t>
      </w:r>
      <w:r>
        <w:rPr>
          <w:rFonts w:hint="default" w:ascii="Times New Roman" w:hAnsi="Times New Roman" w:eastAsia="仿宋_GB2312"/>
          <w:b/>
          <w:bCs/>
          <w:sz w:val="28"/>
          <w:szCs w:val="28"/>
          <w:lang w:eastAsia="zh-CN"/>
        </w:rPr>
        <w:t>https://www.icourse163.org/course/HHU-1462655198</w:t>
      </w:r>
    </w:p>
    <w:p>
      <w:pPr>
        <w:adjustRightInd w:val="0"/>
        <w:snapToGrid w:val="0"/>
        <w:spacing w:line="600" w:lineRule="exact"/>
        <w:ind w:firstLine="562" w:firstLineChars="200"/>
        <w:jc w:val="left"/>
        <w:rPr>
          <w:rFonts w:ascii="宋体" w:hAnsi="宋体" w:cs="宋体"/>
          <w:b/>
          <w:bCs/>
          <w:sz w:val="28"/>
          <w:szCs w:val="28"/>
        </w:rPr>
      </w:pPr>
      <w:r>
        <w:rPr>
          <w:rFonts w:hint="eastAsia" w:ascii="Times New Roman" w:hAnsi="Times New Roman" w:eastAsia="仿宋_GB2312"/>
          <w:b/>
          <w:sz w:val="28"/>
          <w:szCs w:val="28"/>
        </w:rPr>
        <w:t>课程简介</w:t>
      </w:r>
      <w:r>
        <w:rPr>
          <w:rFonts w:hint="eastAsia" w:ascii="宋体" w:hAnsi="宋体" w:cs="宋体"/>
          <w:b/>
          <w:bCs/>
          <w:sz w:val="28"/>
          <w:szCs w:val="28"/>
        </w:rPr>
        <w:t>：</w:t>
      </w:r>
      <w:r>
        <w:rPr>
          <w:rFonts w:hint="eastAsia" w:ascii="Times New Roman" w:hAnsi="Times New Roman" w:eastAsia="仿宋_GB2312"/>
          <w:bCs/>
          <w:sz w:val="28"/>
          <w:szCs w:val="28"/>
        </w:rPr>
        <w:t>《运筹学》自上世纪六十年代理论体系逐步发展以来，其发现问题、分析问题、解决问题的思想与方法，已经渗透到全世界的各行各业。我们的生活中同样充满了优化问题。装修房屋如何做好工序衔接、如何选择合理的旅游路线、如何协调好工作和生活的关系等，都可以利用运筹学的方法来解决。</w:t>
      </w:r>
    </w:p>
    <w:p>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我们开设《生活中的运筹学》这门课程，就是希望通过对运筹学理论方法深入浅出的讲解，帮助大家巧妙运用运筹学的思维方式去解决我们在日常生活中的资源节约、时间分配、投资优化、线路安排等问题，从而帮助大家建立“生活也需要运筹”的新思维。</w:t>
      </w:r>
    </w:p>
    <w:p>
      <w:pPr>
        <w:adjustRightInd w:val="0"/>
        <w:snapToGrid w:val="0"/>
        <w:spacing w:line="600" w:lineRule="exact"/>
        <w:ind w:firstLine="560" w:firstLineChars="200"/>
        <w:jc w:val="left"/>
        <w:rPr>
          <w:rFonts w:hint="eastAsia" w:ascii="Times New Roman" w:hAnsi="Times New Roman" w:eastAsia="仿宋_GB2312"/>
          <w:bCs/>
          <w:sz w:val="28"/>
          <w:szCs w:val="28"/>
        </w:rPr>
      </w:pPr>
      <w:r>
        <w:rPr>
          <w:rFonts w:hint="eastAsia" w:ascii="Times New Roman" w:hAnsi="Times New Roman" w:eastAsia="仿宋_GB2312"/>
          <w:bCs/>
          <w:sz w:val="28"/>
          <w:szCs w:val="28"/>
        </w:rPr>
        <w:t>本课程由河海大学商学院吴凤平教授、陈军飞教授、陈艳萍副教授、吕周洋副教授、仇蕾教授、庞庆华教授、黄晶</w:t>
      </w:r>
      <w:r>
        <w:rPr>
          <w:rFonts w:hint="default" w:ascii="Times New Roman" w:hAnsi="Times New Roman" w:eastAsia="仿宋_GB2312"/>
          <w:bCs/>
          <w:sz w:val="28"/>
          <w:szCs w:val="28"/>
        </w:rPr>
        <w:t>副教授</w:t>
      </w:r>
      <w:r>
        <w:rPr>
          <w:rFonts w:hint="eastAsia" w:ascii="Times New Roman" w:hAnsi="Times New Roman" w:eastAsia="仿宋_GB2312"/>
          <w:bCs/>
          <w:sz w:val="28"/>
          <w:szCs w:val="28"/>
        </w:rPr>
        <w:t>、张丽娜</w:t>
      </w:r>
      <w:r>
        <w:rPr>
          <w:rFonts w:hint="default" w:ascii="Times New Roman" w:hAnsi="Times New Roman" w:eastAsia="仿宋_GB2312"/>
          <w:bCs/>
          <w:sz w:val="28"/>
          <w:szCs w:val="28"/>
        </w:rPr>
        <w:t>副教授</w:t>
      </w:r>
      <w:r>
        <w:rPr>
          <w:rFonts w:hint="eastAsia" w:ascii="Times New Roman" w:hAnsi="Times New Roman" w:eastAsia="仿宋_GB2312"/>
          <w:bCs/>
          <w:sz w:val="28"/>
          <w:szCs w:val="28"/>
        </w:rPr>
        <w:t>授课。</w:t>
      </w:r>
    </w:p>
    <w:p>
      <w:pPr>
        <w:adjustRightInd w:val="0"/>
        <w:snapToGrid w:val="0"/>
        <w:spacing w:line="600" w:lineRule="exact"/>
        <w:ind w:firstLine="562" w:firstLineChars="200"/>
        <w:jc w:val="left"/>
        <w:rPr>
          <w:rFonts w:hint="eastAsia" w:ascii="Times New Roman" w:hAnsi="Times New Roman" w:eastAsia="仿宋_GB2312"/>
          <w:b w:val="0"/>
          <w:bCs w:val="0"/>
          <w:sz w:val="28"/>
          <w:szCs w:val="28"/>
          <w:highlight w:val="none"/>
          <w:lang w:eastAsia="zh-CN"/>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highlight w:val="none"/>
          <w:lang w:eastAsia="zh-CN"/>
        </w:rPr>
        <w:t>通过中国大学MOOC平台，在线学习教学视频与讲义ppt，参与问题讨论。通过</w:t>
      </w:r>
      <w:r>
        <w:rPr>
          <w:rFonts w:hint="default" w:ascii="Times New Roman" w:hAnsi="Times New Roman" w:eastAsia="仿宋_GB2312"/>
          <w:b w:val="0"/>
          <w:bCs w:val="0"/>
          <w:sz w:val="28"/>
          <w:szCs w:val="28"/>
          <w:lang w:eastAsia="zh-CN"/>
        </w:rPr>
        <w:t>超星学习通完成单元测试，</w:t>
      </w:r>
      <w:r>
        <w:rPr>
          <w:rFonts w:hint="default" w:ascii="Times New Roman" w:hAnsi="Times New Roman" w:eastAsia="仿宋_GB2312"/>
          <w:b w:val="0"/>
          <w:bCs w:val="0"/>
          <w:sz w:val="28"/>
          <w:szCs w:val="28"/>
          <w:highlight w:val="none"/>
          <w:lang w:eastAsia="zh-CN"/>
        </w:rPr>
        <w:t>参加期末线上考试。课程建立了QQ群，可以答疑和交流研讨。</w:t>
      </w:r>
    </w:p>
    <w:p>
      <w:pPr>
        <w:adjustRightInd w:val="0"/>
        <w:snapToGrid w:val="0"/>
        <w:spacing w:line="600" w:lineRule="exact"/>
        <w:jc w:val="left"/>
        <w:rPr>
          <w:rFonts w:ascii="Times New Roman" w:hAnsi="Times New Roman" w:eastAsia="仿宋_GB2312"/>
          <w:b/>
          <w:sz w:val="28"/>
          <w:szCs w:val="28"/>
        </w:rPr>
      </w:pPr>
      <w:r>
        <w:rPr>
          <w:rFonts w:hint="eastAsia" w:ascii="Times New Roman" w:hAnsi="Times New Roman" w:eastAsia="黑体"/>
          <w:b/>
          <w:sz w:val="28"/>
          <w:szCs w:val="28"/>
        </w:rPr>
        <w:t>二、南京航空航天大学</w:t>
      </w:r>
    </w:p>
    <w:p>
      <w:pPr>
        <w:numPr>
          <w:numId w:val="0"/>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lang w:val="en-US" w:eastAsia="zh-CN"/>
        </w:rPr>
        <w:t xml:space="preserve">1. </w:t>
      </w:r>
      <w:r>
        <w:rPr>
          <w:rFonts w:hint="eastAsia" w:ascii="Times New Roman" w:hAnsi="Times New Roman" w:eastAsia="黑体"/>
          <w:b/>
          <w:sz w:val="28"/>
          <w:szCs w:val="28"/>
        </w:rPr>
        <w:t>灰色系统理论</w:t>
      </w:r>
      <w:r>
        <w:rPr>
          <w:rFonts w:hint="eastAsia" w:ascii="Times New Roman" w:hAnsi="Times New Roman" w:eastAsia="黑体"/>
          <w:b/>
          <w:sz w:val="28"/>
          <w:szCs w:val="28"/>
          <w:lang w:eastAsia="zh-CN"/>
        </w:rPr>
        <w:t>（Grey System Theory）</w:t>
      </w:r>
    </w:p>
    <w:p>
      <w:pPr>
        <w:adjustRightInd w:val="0"/>
        <w:snapToGrid w:val="0"/>
        <w:spacing w:line="600" w:lineRule="exact"/>
        <w:ind w:firstLine="562" w:firstLineChars="200"/>
        <w:jc w:val="left"/>
        <w:rPr>
          <w:rFonts w:hint="eastAsia" w:ascii="Times New Roman" w:hAnsi="Times New Roman" w:eastAsia="仿宋_GB2312"/>
          <w:b w:val="0"/>
          <w:bCs w:val="0"/>
          <w:sz w:val="28"/>
          <w:szCs w:val="28"/>
          <w:lang w:eastAsia="zh-CN"/>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eastAsia" w:ascii="Times New Roman" w:hAnsi="Times New Roman" w:eastAsia="仿宋_GB2312"/>
          <w:b w:val="0"/>
          <w:bCs w:val="0"/>
          <w:sz w:val="28"/>
          <w:szCs w:val="28"/>
          <w:lang w:eastAsia="zh-CN"/>
        </w:rPr>
        <w:fldChar w:fldCharType="begin"/>
      </w:r>
      <w:r>
        <w:rPr>
          <w:rFonts w:hint="eastAsia" w:ascii="Times New Roman" w:hAnsi="Times New Roman" w:eastAsia="仿宋_GB2312"/>
          <w:b w:val="0"/>
          <w:bCs w:val="0"/>
          <w:sz w:val="28"/>
          <w:szCs w:val="28"/>
          <w:lang w:eastAsia="zh-CN"/>
        </w:rPr>
        <w:instrText xml:space="preserve"> HYPERLINK "https://mooc1.chaoxing.com/course/236020403.html" </w:instrText>
      </w:r>
      <w:r>
        <w:rPr>
          <w:rFonts w:hint="eastAsia" w:ascii="Times New Roman" w:hAnsi="Times New Roman" w:eastAsia="仿宋_GB2312"/>
          <w:b w:val="0"/>
          <w:bCs w:val="0"/>
          <w:sz w:val="28"/>
          <w:szCs w:val="28"/>
          <w:lang w:eastAsia="zh-CN"/>
        </w:rPr>
        <w:fldChar w:fldCharType="separate"/>
      </w:r>
      <w:r>
        <w:rPr>
          <w:rStyle w:val="10"/>
          <w:rFonts w:hint="eastAsia" w:ascii="Times New Roman" w:hAnsi="Times New Roman" w:eastAsia="仿宋_GB2312"/>
          <w:b w:val="0"/>
          <w:bCs w:val="0"/>
          <w:sz w:val="28"/>
          <w:szCs w:val="28"/>
          <w:lang w:eastAsia="zh-CN"/>
        </w:rPr>
        <w:t>https://mooc1.chaoxing.com/course/236020403.html</w:t>
      </w:r>
      <w:r>
        <w:rPr>
          <w:rFonts w:hint="eastAsia" w:ascii="Times New Roman" w:hAnsi="Times New Roman" w:eastAsia="仿宋_GB2312"/>
          <w:b w:val="0"/>
          <w:bCs w:val="0"/>
          <w:sz w:val="28"/>
          <w:szCs w:val="28"/>
          <w:lang w:eastAsia="zh-CN"/>
        </w:rPr>
        <w:fldChar w:fldCharType="end"/>
      </w:r>
    </w:p>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本课程系统地论述了灰色系统的基本理论、基本方法和应用技术, 是课程组长期从事理论探索、实际应用和教学实践的结晶, 同时还吸收了国内外同行近年来取得的理论和应用研究新成果。前置的“灰度思维与智慧人生”讲座将帮助同学深化人生价值认知，打开心结，走向快乐！</w:t>
      </w:r>
    </w:p>
    <w:p>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被评为国家一流课程、国家精品课程、国家精品资源共享课程和国家精品在线开放课程。配套教材入选“十一五”“十二五”国家级规划教材和科学出版社“名家精品系列”；2017年被评为中国知网1949- 2009年自然科学总论高被引图书第一名。</w:t>
      </w:r>
    </w:p>
    <w:p>
      <w:pPr>
        <w:adjustRightInd w:val="0"/>
        <w:snapToGrid w:val="0"/>
        <w:spacing w:line="600" w:lineRule="exact"/>
        <w:ind w:firstLine="560" w:firstLineChars="200"/>
        <w:jc w:val="left"/>
        <w:rPr>
          <w:rFonts w:hint="eastAsia" w:ascii="Times New Roman" w:hAnsi="Times New Roman" w:eastAsia="仿宋_GB2312"/>
          <w:bCs/>
          <w:sz w:val="28"/>
          <w:szCs w:val="28"/>
        </w:rPr>
      </w:pPr>
      <w:r>
        <w:rPr>
          <w:rFonts w:hint="eastAsia" w:ascii="Times New Roman" w:hAnsi="Times New Roman" w:eastAsia="仿宋_GB2312"/>
          <w:bCs/>
          <w:sz w:val="28"/>
          <w:szCs w:val="28"/>
        </w:rPr>
        <w:t>学生通过网络课程学习，将系统掌握灰色系统的基本理论和方法，能够熟练运用灰色系统建模软件，具备分析、解决实际问题的能力和创新思维的智慧。</w:t>
      </w:r>
    </w:p>
    <w:p>
      <w:pPr>
        <w:adjustRightInd w:val="0"/>
        <w:snapToGrid w:val="0"/>
        <w:spacing w:line="600" w:lineRule="exact"/>
        <w:ind w:firstLine="562" w:firstLineChars="200"/>
        <w:jc w:val="left"/>
        <w:rPr>
          <w:rFonts w:hint="eastAsia" w:ascii="Times New Roman" w:hAnsi="Times New Roman" w:eastAsia="仿宋_GB2312"/>
          <w:bCs/>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选课学生</w:t>
      </w:r>
      <w:r>
        <w:rPr>
          <w:rFonts w:hint="default" w:ascii="Times New Roman" w:hAnsi="Times New Roman" w:eastAsia="仿宋_GB2312"/>
          <w:b w:val="0"/>
          <w:bCs w:val="0"/>
          <w:sz w:val="28"/>
          <w:szCs w:val="28"/>
          <w:highlight w:val="none"/>
          <w:lang w:eastAsia="zh-CN"/>
        </w:rPr>
        <w:t>通过超星学习通平台，在线学习教学视频，</w:t>
      </w:r>
      <w:r>
        <w:rPr>
          <w:rFonts w:hint="default" w:ascii="Times New Roman" w:hAnsi="Times New Roman" w:eastAsia="仿宋_GB2312"/>
          <w:b w:val="0"/>
          <w:bCs w:val="0"/>
          <w:sz w:val="28"/>
          <w:szCs w:val="28"/>
          <w:lang w:eastAsia="zh-CN"/>
        </w:rPr>
        <w:t>完成单元测试，</w:t>
      </w:r>
      <w:r>
        <w:rPr>
          <w:rFonts w:hint="default" w:ascii="Times New Roman" w:hAnsi="Times New Roman" w:eastAsia="仿宋_GB2312"/>
          <w:b w:val="0"/>
          <w:bCs w:val="0"/>
          <w:sz w:val="28"/>
          <w:szCs w:val="28"/>
          <w:highlight w:val="none"/>
          <w:lang w:eastAsia="zh-CN"/>
        </w:rPr>
        <w:t>参加期末线上考试。加入课程QQ群（688614045），接收课程信息，实名参与课程答疑和交流研讨。</w:t>
      </w:r>
    </w:p>
    <w:p>
      <w:p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三、南京师范大学</w:t>
      </w:r>
    </w:p>
    <w:p>
      <w:pPr>
        <w:numPr>
          <w:ilvl w:val="0"/>
          <w:numId w:val="2"/>
        </w:numPr>
        <w:adjustRightInd w:val="0"/>
        <w:snapToGrid w:val="0"/>
        <w:spacing w:line="600" w:lineRule="exact"/>
        <w:ind w:left="479"/>
        <w:jc w:val="left"/>
        <w:rPr>
          <w:rFonts w:ascii="Times New Roman" w:hAnsi="Times New Roman" w:eastAsia="黑体"/>
          <w:b/>
          <w:sz w:val="28"/>
          <w:szCs w:val="28"/>
        </w:rPr>
      </w:pPr>
      <w:r>
        <w:rPr>
          <w:rFonts w:hint="eastAsia" w:ascii="Times New Roman" w:hAnsi="Times New Roman" w:eastAsia="黑体"/>
          <w:b/>
          <w:sz w:val="28"/>
          <w:szCs w:val="28"/>
        </w:rPr>
        <w:t>中国民歌</w:t>
      </w:r>
      <w:r>
        <w:rPr>
          <w:rFonts w:hint="eastAsia" w:ascii="Times New Roman" w:hAnsi="Times New Roman" w:eastAsia="黑体"/>
          <w:b/>
          <w:sz w:val="28"/>
          <w:szCs w:val="28"/>
          <w:lang w:eastAsia="zh-CN"/>
        </w:rPr>
        <w:t>（Nation music of China）</w:t>
      </w:r>
    </w:p>
    <w:p>
      <w:pPr>
        <w:adjustRightInd w:val="0"/>
        <w:snapToGrid w:val="0"/>
        <w:spacing w:line="600" w:lineRule="exact"/>
        <w:ind w:firstLine="562" w:firstLineChars="200"/>
        <w:jc w:val="left"/>
        <w:rPr>
          <w:rFonts w:hint="default" w:ascii="Times New Roman" w:hAnsi="Times New Roman"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http://mooc1.chaoxing.com/course/239939377.html</w:t>
      </w:r>
    </w:p>
    <w:p>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 w:val="0"/>
          <w:bCs/>
          <w:sz w:val="28"/>
          <w:szCs w:val="28"/>
        </w:rPr>
        <w:t>：</w:t>
      </w:r>
      <w:r>
        <w:rPr>
          <w:rFonts w:hint="eastAsia" w:ascii="Times New Roman" w:hAnsi="Times New Roman" w:eastAsia="仿宋_GB2312"/>
          <w:bCs/>
          <w:sz w:val="28"/>
          <w:szCs w:val="28"/>
        </w:rPr>
        <w:t>《中国民歌》是以中国各民族、各地域的民间歌曲为教学内容的艺术类课程，是高校各学科专业本、专科学生及社会音乐爱好者的自主发展课程。民歌是民族音乐的基础，欣赏民歌、了解民歌、学唱民歌是传承、弘扬中国传统文化最有效、最直接的途径。学唱中国民歌能让我们更懂乡音、乡情，成为一个有“温度”的现代青年，让您在奔忙的学习途中“有情可言”。</w:t>
      </w:r>
    </w:p>
    <w:p>
      <w:pPr>
        <w:adjustRightInd w:val="0"/>
        <w:snapToGrid w:val="0"/>
        <w:spacing w:line="600" w:lineRule="exact"/>
        <w:ind w:firstLine="560" w:firstLineChars="200"/>
        <w:jc w:val="left"/>
        <w:rPr>
          <w:rFonts w:hint="eastAsia" w:ascii="Times New Roman" w:hAnsi="Times New Roman" w:eastAsia="仿宋_GB2312"/>
          <w:bCs/>
          <w:sz w:val="28"/>
          <w:szCs w:val="28"/>
        </w:rPr>
      </w:pPr>
      <w:r>
        <w:rPr>
          <w:rFonts w:hint="eastAsia" w:ascii="Times New Roman" w:hAnsi="Times New Roman" w:eastAsia="仿宋_GB2312"/>
          <w:bCs/>
          <w:sz w:val="28"/>
          <w:szCs w:val="28"/>
        </w:rPr>
        <w:t>本课程教学内容按地域编排，共15课时。一方面，两位专业教师的理论讲解和示范演唱将引导您探索民歌的体裁特点、地域风格和民俗文化；另一方面，您亲身参与的视听欣赏和演唱实践活动将为我们的课程学习带来满满的收获和多多的乐趣。</w:t>
      </w:r>
    </w:p>
    <w:p>
      <w:pPr>
        <w:pStyle w:val="6"/>
        <w:keepNext w:val="0"/>
        <w:keepLines w:val="0"/>
        <w:widowControl/>
        <w:suppressLineNumbers w:val="0"/>
        <w:spacing w:before="0" w:beforeAutospacing="0" w:after="0" w:afterAutospacing="0" w:line="600" w:lineRule="exact"/>
        <w:ind w:left="0" w:right="0" w:firstLine="420"/>
        <w:jc w:val="left"/>
        <w:rPr>
          <w:rFonts w:hint="eastAsia" w:ascii="Times New Roman" w:hAnsi="Times New Roman" w:eastAsia="仿宋_GB2312"/>
          <w:bCs/>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ascii="仿宋_GB2312" w:eastAsia="仿宋_GB2312" w:cs="仿宋_GB2312"/>
          <w:b/>
          <w:bCs/>
          <w:i w:val="0"/>
          <w:iCs w:val="0"/>
          <w:color w:val="000000"/>
          <w:spacing w:val="0"/>
          <w:w w:val="100"/>
          <w:sz w:val="28"/>
          <w:szCs w:val="28"/>
          <w:vertAlign w:val="baseline"/>
        </w:rPr>
        <w:t>本课程是以实践为主的课程，要求学生以实践演唱的形式完成每一次课后作业及结课考试。</w:t>
      </w:r>
    </w:p>
    <w:p>
      <w:pPr>
        <w:numPr>
          <w:ilvl w:val="0"/>
          <w:numId w:val="2"/>
        </w:numPr>
        <w:adjustRightInd w:val="0"/>
        <w:snapToGrid w:val="0"/>
        <w:spacing w:line="600" w:lineRule="exact"/>
        <w:ind w:left="479"/>
        <w:jc w:val="left"/>
        <w:rPr>
          <w:rFonts w:ascii="Times New Roman" w:hAnsi="Times New Roman" w:eastAsia="黑体"/>
          <w:b/>
          <w:sz w:val="28"/>
          <w:szCs w:val="28"/>
        </w:rPr>
      </w:pPr>
      <w:r>
        <w:rPr>
          <w:rFonts w:hint="eastAsia" w:ascii="Times New Roman" w:hAnsi="Times New Roman" w:eastAsia="黑体"/>
          <w:b/>
          <w:sz w:val="28"/>
          <w:szCs w:val="28"/>
        </w:rPr>
        <w:t>中外城市公共艺术</w:t>
      </w:r>
      <w:r>
        <w:rPr>
          <w:rFonts w:hint="eastAsia" w:ascii="Times New Roman" w:hAnsi="Times New Roman" w:eastAsia="黑体"/>
          <w:b/>
          <w:sz w:val="28"/>
          <w:szCs w:val="28"/>
          <w:lang w:eastAsia="zh-CN"/>
        </w:rPr>
        <w:t>（Chinese and foreign urban public art）</w:t>
      </w:r>
    </w:p>
    <w:p>
      <w:pPr>
        <w:pStyle w:val="6"/>
        <w:keepNext w:val="0"/>
        <w:keepLines w:val="0"/>
        <w:widowControl/>
        <w:suppressLineNumbers w:val="0"/>
        <w:spacing w:before="0" w:beforeAutospacing="0" w:after="0" w:afterAutospacing="0" w:line="600" w:lineRule="exact"/>
        <w:ind w:left="0" w:right="0" w:firstLine="420"/>
        <w:jc w:val="left"/>
        <w:rPr>
          <w:rFonts w:hint="eastAsia" w:ascii="Times New Roman" w:hAnsi="Times New Roman" w:eastAsia="仿宋_GB2312"/>
          <w:b/>
          <w:bCs/>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fldChar w:fldCharType="begin"/>
      </w:r>
      <w:r>
        <w:instrText xml:space="preserve"> HYPERLINK "https://mooc1.chaoxing.com/course/236917889.html" </w:instrText>
      </w:r>
      <w:r>
        <w:fldChar w:fldCharType="separate"/>
      </w:r>
      <w:r>
        <w:rPr>
          <w:rStyle w:val="10"/>
          <w:rFonts w:hint="eastAsia" w:ascii="宋体" w:hAnsi="宋体" w:eastAsia="宋体" w:cs="宋体"/>
          <w:b w:val="0"/>
          <w:bCs w:val="0"/>
          <w:i w:val="0"/>
          <w:iCs w:val="0"/>
          <w:color w:val="000000"/>
          <w:spacing w:val="0"/>
          <w:w w:val="100"/>
          <w:sz w:val="21"/>
          <w:szCs w:val="21"/>
          <w:u w:val="single"/>
          <w:vertAlign w:val="baseline"/>
        </w:rPr>
        <w:t>https://mooc1.chaoxing.com/course/236917889.html</w:t>
      </w:r>
      <w:r>
        <w:fldChar w:fldCharType="end"/>
      </w:r>
    </w:p>
    <w:p>
      <w:pPr>
        <w:adjustRightInd w:val="0"/>
        <w:snapToGrid w:val="0"/>
        <w:spacing w:line="600" w:lineRule="exact"/>
        <w:ind w:firstLine="562" w:firstLineChars="200"/>
        <w:jc w:val="left"/>
        <w:rPr>
          <w:rFonts w:hint="eastAsia"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b w:val="0"/>
          <w:bCs w:val="0"/>
          <w:sz w:val="28"/>
          <w:szCs w:val="28"/>
        </w:rPr>
        <w:t>：</w:t>
      </w:r>
      <w:r>
        <w:rPr>
          <w:rFonts w:hint="eastAsia" w:ascii="Times New Roman" w:hAnsi="Times New Roman" w:eastAsia="仿宋_GB2312"/>
          <w:bCs/>
          <w:sz w:val="28"/>
          <w:szCs w:val="28"/>
        </w:rPr>
        <w:t>公共艺术的互动性是公共艺术区别于其他艺术形式的主要特征。公共艺术通常以互动的形式内容，同开放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任，再到公共艺术的功能，都是公共艺术活动子系统在跟自然环境、人工环境和社会文化环境等因素相互作用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等为恒久主题的公共艺术占据了主要地位。公共艺术在创造和提升城市环境的美学品质的同时，通过艺术的方式，解决空间与环境的互动公共艺术与环境因素的关系，并不仅仅是一种物理的的空间关系，还是一种艺术与各种环境因素相匹配的和谐关系。公共艺术不仅仅是一种艺术作品，而是对自然环境、人工环境和社会文化环境具有一种创造性利用和转换的功能，一种无尽的对未来的延伸，具有可持续发展、创新城市公共环境等价值。</w:t>
      </w:r>
    </w:p>
    <w:p>
      <w:pPr>
        <w:adjustRightInd w:val="0"/>
        <w:snapToGrid w:val="0"/>
        <w:spacing w:line="600" w:lineRule="exact"/>
        <w:ind w:firstLine="562" w:firstLineChars="200"/>
        <w:jc w:val="left"/>
        <w:rPr>
          <w:rFonts w:hint="eastAsia" w:ascii="Times New Roman" w:hAnsi="Times New Roman" w:eastAsia="仿宋_GB2312"/>
          <w:b w:val="0"/>
          <w:bCs w:val="0"/>
          <w:sz w:val="28"/>
          <w:szCs w:val="28"/>
          <w:lang w:eastAsia="zh-CN"/>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p>
    <w:p>
      <w:pPr>
        <w:pStyle w:val="6"/>
        <w:keepNext w:val="0"/>
        <w:keepLines w:val="0"/>
        <w:widowControl/>
        <w:numPr>
          <w:ilvl w:val="0"/>
          <w:numId w:val="3"/>
        </w:numPr>
        <w:suppressLineNumbers w:val="0"/>
        <w:spacing w:before="0" w:beforeAutospacing="0" w:after="0" w:afterAutospacing="0" w:line="600" w:lineRule="exact"/>
        <w:ind w:left="0" w:right="0" w:firstLine="420"/>
        <w:jc w:val="left"/>
        <w:rPr>
          <w:rFonts w:ascii="仿宋_GB2312" w:eastAsia="仿宋_GB2312" w:cs="仿宋_GB2312"/>
          <w:b w:val="0"/>
          <w:bCs w:val="0"/>
          <w:i w:val="0"/>
          <w:iCs w:val="0"/>
          <w:color w:val="000000"/>
          <w:spacing w:val="0"/>
          <w:w w:val="100"/>
          <w:sz w:val="28"/>
          <w:szCs w:val="28"/>
          <w:vertAlign w:val="baseline"/>
        </w:rPr>
      </w:pPr>
      <w:r>
        <w:rPr>
          <w:rFonts w:ascii="仿宋_GB2312" w:eastAsia="仿宋_GB2312" w:cs="仿宋_GB2312"/>
          <w:b w:val="0"/>
          <w:bCs w:val="0"/>
          <w:i w:val="0"/>
          <w:iCs w:val="0"/>
          <w:color w:val="000000"/>
          <w:spacing w:val="0"/>
          <w:w w:val="100"/>
          <w:sz w:val="28"/>
          <w:szCs w:val="28"/>
          <w:vertAlign w:val="baseline"/>
        </w:rPr>
        <w:t>感悟公共艺术的艺术价值：对平淡无奇、司空见惯的公共艺术再发现。</w:t>
      </w:r>
    </w:p>
    <w:p>
      <w:pPr>
        <w:pStyle w:val="6"/>
        <w:keepNext w:val="0"/>
        <w:keepLines w:val="0"/>
        <w:widowControl/>
        <w:numPr>
          <w:ilvl w:val="0"/>
          <w:numId w:val="3"/>
        </w:numPr>
        <w:suppressLineNumbers w:val="0"/>
        <w:spacing w:before="0" w:beforeAutospacing="0" w:after="0" w:afterAutospacing="0" w:line="600" w:lineRule="exact"/>
        <w:ind w:left="0" w:leftChars="0" w:right="0" w:rightChars="0" w:firstLine="420" w:firstLineChars="0"/>
        <w:jc w:val="left"/>
        <w:rPr>
          <w:rFonts w:ascii="仿宋_GB2312" w:eastAsia="仿宋_GB2312" w:cs="仿宋_GB2312"/>
          <w:b w:val="0"/>
          <w:bCs w:val="0"/>
          <w:i w:val="0"/>
          <w:iCs w:val="0"/>
          <w:color w:val="000000"/>
          <w:spacing w:val="0"/>
          <w:w w:val="100"/>
          <w:sz w:val="28"/>
          <w:szCs w:val="28"/>
          <w:vertAlign w:val="baseline"/>
        </w:rPr>
      </w:pPr>
      <w:r>
        <w:rPr>
          <w:rFonts w:ascii="仿宋_GB2312" w:eastAsia="仿宋_GB2312" w:cs="仿宋_GB2312"/>
          <w:b w:val="0"/>
          <w:bCs w:val="0"/>
          <w:i w:val="0"/>
          <w:iCs w:val="0"/>
          <w:color w:val="000000"/>
          <w:spacing w:val="0"/>
          <w:w w:val="100"/>
          <w:sz w:val="28"/>
          <w:szCs w:val="28"/>
          <w:vertAlign w:val="baseline"/>
        </w:rPr>
        <w:t>了解公共艺术的特性：对材料的质地、肌理、软硬、色彩等特性做全面了解。</w:t>
      </w:r>
    </w:p>
    <w:p>
      <w:pPr>
        <w:pStyle w:val="6"/>
        <w:keepNext w:val="0"/>
        <w:keepLines w:val="0"/>
        <w:widowControl/>
        <w:numPr>
          <w:ilvl w:val="0"/>
          <w:numId w:val="3"/>
        </w:numPr>
        <w:suppressLineNumbers w:val="0"/>
        <w:spacing w:before="0" w:beforeAutospacing="0" w:after="0" w:afterAutospacing="0" w:line="600" w:lineRule="exact"/>
        <w:ind w:left="0" w:leftChars="0" w:right="0" w:rightChars="0" w:firstLine="420" w:firstLineChars="0"/>
        <w:jc w:val="left"/>
        <w:rPr>
          <w:rFonts w:ascii="仿宋_GB2312" w:eastAsia="仿宋_GB2312" w:cs="仿宋_GB2312"/>
          <w:b w:val="0"/>
          <w:bCs w:val="0"/>
          <w:i w:val="0"/>
          <w:iCs w:val="0"/>
          <w:color w:val="000000"/>
          <w:spacing w:val="0"/>
          <w:w w:val="100"/>
          <w:sz w:val="28"/>
          <w:szCs w:val="28"/>
          <w:vertAlign w:val="baseline"/>
        </w:rPr>
      </w:pPr>
      <w:r>
        <w:rPr>
          <w:rFonts w:ascii="仿宋_GB2312" w:eastAsia="仿宋_GB2312" w:cs="仿宋_GB2312"/>
          <w:b w:val="0"/>
          <w:bCs w:val="0"/>
          <w:i w:val="0"/>
          <w:iCs w:val="0"/>
          <w:color w:val="000000"/>
          <w:spacing w:val="0"/>
          <w:w w:val="100"/>
          <w:sz w:val="28"/>
          <w:szCs w:val="28"/>
          <w:vertAlign w:val="baseline"/>
        </w:rPr>
        <w:t>学习对公共艺术的理念和趋势：对当代艺术形式的具体风格和处理手法进行观摩和研究。</w:t>
      </w:r>
    </w:p>
    <w:p>
      <w:pPr>
        <w:pStyle w:val="6"/>
        <w:keepNext w:val="0"/>
        <w:keepLines w:val="0"/>
        <w:widowControl/>
        <w:numPr>
          <w:ilvl w:val="0"/>
          <w:numId w:val="3"/>
        </w:numPr>
        <w:suppressLineNumbers w:val="0"/>
        <w:spacing w:before="0" w:beforeAutospacing="0" w:after="0" w:afterAutospacing="0" w:line="600" w:lineRule="exact"/>
        <w:ind w:left="0" w:leftChars="0" w:right="0" w:rightChars="0" w:firstLine="420" w:firstLineChars="0"/>
        <w:jc w:val="left"/>
        <w:rPr>
          <w:rFonts w:ascii="仿宋_GB2312" w:eastAsia="仿宋_GB2312" w:cs="仿宋_GB2312"/>
          <w:b w:val="0"/>
          <w:bCs w:val="0"/>
          <w:i w:val="0"/>
          <w:iCs w:val="0"/>
          <w:color w:val="000000"/>
          <w:spacing w:val="0"/>
          <w:w w:val="100"/>
          <w:sz w:val="28"/>
          <w:szCs w:val="28"/>
          <w:vertAlign w:val="baseline"/>
        </w:rPr>
      </w:pPr>
      <w:r>
        <w:rPr>
          <w:rFonts w:ascii="仿宋_GB2312" w:eastAsia="仿宋_GB2312" w:cs="仿宋_GB2312"/>
          <w:b w:val="0"/>
          <w:bCs w:val="0"/>
          <w:i w:val="0"/>
          <w:iCs w:val="0"/>
          <w:color w:val="000000"/>
          <w:spacing w:val="0"/>
          <w:w w:val="100"/>
          <w:sz w:val="28"/>
          <w:szCs w:val="28"/>
          <w:vertAlign w:val="baseline"/>
        </w:rPr>
        <w:t>掌握对公共艺术设计的基本技能：具备初步的作品独立欣赏能力。</w:t>
      </w:r>
    </w:p>
    <w:p>
      <w:pPr>
        <w:pStyle w:val="6"/>
        <w:keepNext w:val="0"/>
        <w:keepLines w:val="0"/>
        <w:widowControl/>
        <w:numPr>
          <w:ilvl w:val="0"/>
          <w:numId w:val="0"/>
        </w:numPr>
        <w:suppressLineNumbers w:val="0"/>
        <w:spacing w:before="0" w:beforeAutospacing="0" w:after="0" w:afterAutospacing="0" w:line="600" w:lineRule="exact"/>
        <w:ind w:left="420" w:leftChars="0" w:right="0" w:rightChars="0"/>
        <w:jc w:val="left"/>
        <w:rPr>
          <w:rFonts w:hint="eastAsia" w:ascii="Times New Roman" w:hAnsi="Times New Roman" w:eastAsia="仿宋_GB2312"/>
          <w:b w:val="0"/>
          <w:bCs w:val="0"/>
          <w:sz w:val="28"/>
          <w:szCs w:val="28"/>
          <w:lang w:eastAsia="zh-CN"/>
        </w:rPr>
      </w:pPr>
      <w:r>
        <w:rPr>
          <w:rFonts w:ascii="仿宋_GB2312" w:eastAsia="仿宋_GB2312" w:cs="仿宋_GB2312"/>
          <w:b w:val="0"/>
          <w:bCs w:val="0"/>
          <w:i w:val="0"/>
          <w:iCs w:val="0"/>
          <w:color w:val="000000"/>
          <w:spacing w:val="0"/>
          <w:w w:val="100"/>
          <w:sz w:val="28"/>
          <w:szCs w:val="28"/>
          <w:vertAlign w:val="baseline"/>
        </w:rPr>
        <w:t>5.探讨公共艺术设计的反思：对作品最终结果的过程性检讨，总结不足和可行的解决办法。</w:t>
      </w: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南京林业大学</w:t>
      </w:r>
    </w:p>
    <w:p>
      <w:pPr>
        <w:numPr>
          <w:ilvl w:val="0"/>
          <w:numId w:val="5"/>
        </w:numPr>
        <w:adjustRightInd w:val="0"/>
        <w:snapToGrid w:val="0"/>
        <w:spacing w:line="600" w:lineRule="exact"/>
        <w:ind w:left="479" w:leftChars="228"/>
        <w:jc w:val="left"/>
        <w:rPr>
          <w:rFonts w:ascii="Times New Roman" w:hAnsi="Times New Roman" w:eastAsia="黑体"/>
          <w:b/>
          <w:sz w:val="28"/>
          <w:szCs w:val="28"/>
        </w:rPr>
      </w:pPr>
      <w:r>
        <w:rPr>
          <w:rFonts w:hint="eastAsia" w:ascii="Times New Roman" w:hAnsi="Times New Roman" w:eastAsia="黑体"/>
          <w:b/>
          <w:sz w:val="28"/>
          <w:szCs w:val="28"/>
        </w:rPr>
        <w:t>森林食品资源学（Forest Food Resources）</w:t>
      </w:r>
    </w:p>
    <w:p>
      <w:pPr>
        <w:wordWrap w:val="0"/>
        <w:overflowPunct w:val="0"/>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课程网址</w:t>
      </w:r>
      <w:r>
        <w:rPr>
          <w:rFonts w:ascii="Times New Roman" w:hAnsi="Times New Roman" w:eastAsia="仿宋_GB2312"/>
          <w:b w:val="0"/>
          <w:bCs/>
          <w:sz w:val="28"/>
          <w:szCs w:val="28"/>
        </w:rPr>
        <w:t>：</w:t>
      </w:r>
      <w:r>
        <w:rPr>
          <w:rFonts w:ascii="Times New Roman" w:hAnsi="Times New Roman" w:eastAsia="仿宋_GB2312"/>
          <w:bCs/>
          <w:sz w:val="28"/>
          <w:szCs w:val="28"/>
        </w:rPr>
        <w:t>https://www.icourse163.org/course/NJFU-1207233802</w:t>
      </w:r>
    </w:p>
    <w:p>
      <w:pPr>
        <w:ind w:firstLine="562" w:firstLineChars="200"/>
        <w:rPr>
          <w:rFonts w:hint="eastAsia"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 w:val="0"/>
          <w:bCs/>
          <w:sz w:val="28"/>
          <w:szCs w:val="28"/>
        </w:rPr>
        <w:t>：</w:t>
      </w:r>
      <w:r>
        <w:rPr>
          <w:rFonts w:hint="eastAsia" w:ascii="Times New Roman" w:hAnsi="Times New Roman" w:eastAsia="仿宋_GB2312"/>
          <w:sz w:val="28"/>
          <w:szCs w:val="28"/>
        </w:rPr>
        <w:t>作为资深“小吃货”的您知道，维生素C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pPr>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南京医科大学</w:t>
      </w:r>
    </w:p>
    <w:p>
      <w:pPr>
        <w:numPr>
          <w:ilvl w:val="0"/>
          <w:numId w:val="6"/>
        </w:numPr>
        <w:adjustRightInd w:val="0"/>
        <w:snapToGrid w:val="0"/>
        <w:spacing w:line="600" w:lineRule="exact"/>
        <w:ind w:firstLine="562" w:firstLineChars="200"/>
        <w:jc w:val="left"/>
        <w:rPr>
          <w:rFonts w:hint="eastAsia" w:ascii="Times New Roman" w:hAnsi="Times New Roman" w:eastAsia="黑体"/>
          <w:b/>
          <w:sz w:val="28"/>
          <w:szCs w:val="28"/>
        </w:rPr>
      </w:pPr>
      <w:r>
        <w:rPr>
          <w:rFonts w:hint="eastAsia" w:ascii="Times New Roman" w:hAnsi="Times New Roman" w:eastAsia="黑体"/>
          <w:b/>
          <w:sz w:val="28"/>
          <w:szCs w:val="28"/>
        </w:rPr>
        <w:t>人人享有健康</w:t>
      </w:r>
      <w:r>
        <w:rPr>
          <w:rFonts w:hint="eastAsia" w:ascii="Times New Roman" w:hAnsi="Times New Roman" w:eastAsia="黑体"/>
          <w:b/>
          <w:sz w:val="28"/>
          <w:szCs w:val="28"/>
          <w:lang w:eastAsia="zh-CN"/>
        </w:rPr>
        <w:t>——</w:t>
      </w:r>
      <w:r>
        <w:rPr>
          <w:rFonts w:hint="eastAsia" w:ascii="Times New Roman" w:hAnsi="Times New Roman" w:eastAsia="黑体"/>
          <w:b/>
          <w:sz w:val="28"/>
          <w:szCs w:val="28"/>
        </w:rPr>
        <w:t>一带一路与全球健康</w:t>
      </w:r>
      <w:r>
        <w:rPr>
          <w:rFonts w:hint="eastAsia" w:ascii="Times New Roman" w:hAnsi="Times New Roman" w:eastAsia="黑体"/>
          <w:b/>
          <w:sz w:val="28"/>
          <w:szCs w:val="28"/>
          <w:lang w:eastAsia="zh-CN"/>
        </w:rPr>
        <w:t>（</w:t>
      </w:r>
      <w:r>
        <w:rPr>
          <w:rFonts w:hint="eastAsia" w:ascii="Times New Roman" w:hAnsi="Times New Roman" w:eastAsia="黑体"/>
          <w:b/>
          <w:sz w:val="28"/>
          <w:szCs w:val="28"/>
        </w:rPr>
        <w:t> </w:t>
      </w:r>
      <w:r>
        <w:rPr>
          <w:rFonts w:hint="default" w:ascii="Times New Roman" w:hAnsi="Times New Roman" w:eastAsia="黑体"/>
          <w:b/>
          <w:sz w:val="28"/>
          <w:szCs w:val="28"/>
        </w:rPr>
        <w:t>The Belt and Road Initiative and global health </w:t>
      </w:r>
      <w:r>
        <w:rPr>
          <w:rFonts w:hint="eastAsia" w:ascii="Times New Roman" w:hAnsi="Times New Roman" w:eastAsia="黑体"/>
          <w:b/>
          <w:sz w:val="28"/>
          <w:szCs w:val="28"/>
        </w:rPr>
        <w:t xml:space="preserve"> </w:t>
      </w:r>
      <w:r>
        <w:rPr>
          <w:rFonts w:hint="eastAsia" w:ascii="Times New Roman" w:hAnsi="Times New Roman" w:eastAsia="黑体"/>
          <w:b/>
          <w:sz w:val="28"/>
          <w:szCs w:val="28"/>
          <w:lang w:eastAsia="zh-CN"/>
        </w:rPr>
        <w:t>）</w:t>
      </w:r>
    </w:p>
    <w:p>
      <w:pPr>
        <w:adjustRightInd w:val="0"/>
        <w:snapToGrid w:val="0"/>
        <w:spacing w:line="600" w:lineRule="exact"/>
        <w:ind w:left="0" w:leftChars="0" w:firstLine="562" w:firstLineChars="200"/>
        <w:jc w:val="left"/>
        <w:rPr>
          <w:rFonts w:hint="default" w:ascii="Times New Roman" w:hAnsi="Times New Roman" w:eastAsia="仿宋_GB2312"/>
          <w:b w:val="0"/>
          <w:bCs w:val="0"/>
          <w:sz w:val="28"/>
          <w:szCs w:val="28"/>
          <w:lang w:eastAsia="zh-CN"/>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fldChar w:fldCharType="begin"/>
      </w:r>
      <w:r>
        <w:rPr>
          <w:rFonts w:hint="default" w:ascii="Times New Roman" w:hAnsi="Times New Roman" w:eastAsia="仿宋_GB2312"/>
          <w:b w:val="0"/>
          <w:bCs w:val="0"/>
          <w:sz w:val="28"/>
          <w:szCs w:val="28"/>
          <w:lang w:eastAsia="zh-CN"/>
        </w:rPr>
        <w:instrText xml:space="preserve"> HYPERLINK "https://www.icourse163.org/course/NMU-1449944191?tid=1471113455" </w:instrText>
      </w:r>
      <w:r>
        <w:rPr>
          <w:rFonts w:hint="default" w:ascii="Times New Roman" w:hAnsi="Times New Roman" w:eastAsia="仿宋_GB2312"/>
          <w:b w:val="0"/>
          <w:bCs w:val="0"/>
          <w:sz w:val="28"/>
          <w:szCs w:val="28"/>
          <w:lang w:eastAsia="zh-CN"/>
        </w:rPr>
        <w:fldChar w:fldCharType="separate"/>
      </w:r>
      <w:r>
        <w:rPr>
          <w:rStyle w:val="10"/>
          <w:rFonts w:hint="default" w:ascii="Times New Roman" w:hAnsi="Times New Roman" w:eastAsia="仿宋_GB2312"/>
          <w:b w:val="0"/>
          <w:bCs w:val="0"/>
          <w:sz w:val="28"/>
          <w:szCs w:val="28"/>
          <w:lang w:eastAsia="zh-CN"/>
        </w:rPr>
        <w:t>https://www.icourse163.org/course/NMU-1449944191?tid=1471113455</w:t>
      </w:r>
      <w:r>
        <w:rPr>
          <w:rFonts w:hint="default" w:ascii="Times New Roman" w:hAnsi="Times New Roman" w:eastAsia="仿宋_GB2312"/>
          <w:b w:val="0"/>
          <w:bCs w:val="0"/>
          <w:sz w:val="28"/>
          <w:szCs w:val="28"/>
          <w:lang w:eastAsia="zh-CN"/>
        </w:rPr>
        <w:fldChar w:fldCharType="end"/>
      </w:r>
    </w:p>
    <w:p>
      <w:pPr>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ascii="仿宋_GB2312" w:hAnsi="仿宋_GB2312" w:eastAsia="仿宋_GB2312"/>
          <w:b w:val="0"/>
          <w:bCs w:val="0"/>
          <w:color w:val="000000"/>
          <w:sz w:val="28"/>
          <w:szCs w:val="28"/>
        </w:rPr>
        <w:t>：</w:t>
      </w:r>
      <w:r>
        <w:rPr>
          <w:rFonts w:hint="eastAsia" w:ascii="Times New Roman" w:hAnsi="Times New Roman" w:eastAsia="仿宋_GB2312"/>
          <w:sz w:val="28"/>
          <w:szCs w:val="28"/>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人人享有健康—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adjustRightInd w:val="0"/>
        <w:snapToGrid w:val="0"/>
        <w:spacing w:line="6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pPr>
        <w:adjustRightInd w:val="0"/>
        <w:snapToGrid w:val="0"/>
        <w:spacing w:line="600" w:lineRule="exact"/>
        <w:ind w:firstLine="562" w:firstLineChars="200"/>
        <w:jc w:val="left"/>
        <w:rPr>
          <w:rFonts w:hint="eastAsia" w:ascii="Times New Roman" w:hAnsi="Times New Roman" w:eastAsia="仿宋_GB2312"/>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通过中国大学MOOC平台在线学习，完成单元测试、参与讨论，参与期末考试。如有疑问，可通过QQ群联系。</w:t>
      </w:r>
      <w:bookmarkStart w:id="5" w:name="_GoBack"/>
      <w:bookmarkEnd w:id="5"/>
    </w:p>
    <w:p>
      <w:pPr>
        <w:numPr>
          <w:ilvl w:val="0"/>
          <w:numId w:val="6"/>
        </w:numPr>
        <w:adjustRightInd w:val="0"/>
        <w:snapToGrid w:val="0"/>
        <w:spacing w:line="600" w:lineRule="exact"/>
        <w:ind w:firstLine="562" w:firstLineChars="200"/>
        <w:jc w:val="left"/>
        <w:rPr>
          <w:rFonts w:hint="eastAsia" w:ascii="Times New Roman" w:hAnsi="Times New Roman" w:eastAsia="黑体"/>
          <w:b/>
          <w:sz w:val="28"/>
          <w:szCs w:val="28"/>
        </w:rPr>
      </w:pPr>
      <w:r>
        <w:rPr>
          <w:rFonts w:hint="eastAsia" w:ascii="Times New Roman" w:hAnsi="Times New Roman" w:eastAsia="黑体"/>
          <w:b/>
          <w:sz w:val="28"/>
          <w:szCs w:val="28"/>
        </w:rPr>
        <w:t>化妆品中的化学</w:t>
      </w:r>
    </w:p>
    <w:p>
      <w:pPr>
        <w:wordWrap w:val="0"/>
        <w:adjustRightInd w:val="0"/>
        <w:snapToGrid w:val="0"/>
        <w:spacing w:line="600" w:lineRule="exact"/>
        <w:ind w:firstLine="562" w:firstLineChars="200"/>
        <w:jc w:val="left"/>
        <w:rPr>
          <w:rFonts w:hint="eastAsia" w:ascii="Times New Roman" w:hAnsi="Times New Roman" w:eastAsia="仿宋_GB2312"/>
          <w:b w:val="0"/>
          <w:bCs w:val="0"/>
          <w:sz w:val="28"/>
          <w:szCs w:val="28"/>
          <w:lang w:eastAsia="zh-CN"/>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化妆品是赋予我们美丽和自信的产品，以多样的形式出现在生活中方方面面。那么化妆品是由什么组成的呢？由哪些化学原料赋予人皮肤与毛发的护理、满足日常保养所需或者带来预料之外的小麻烦？我们该如何科学理性地选择化妆品来保护我们自身皮肤与毛发的健康呢？让我们跟随老师一起，探究清洁、水剂、防晒、牙膏、染发剂、口红等多类化妆品中的奥秘，发现具有美白、保湿、抗衰等功能化妆品中的有效化学成分。同时，通过实例分析“网红”乳霜、精华液、防晒霜、润唇膏等产品的配料表，让同学们学会辨别化妆品的“优劣”，学会选择适合自己的化妆品。此外，课程也会介绍化妆品中的有害成分，以及如何处理不良反应。</w:t>
      </w:r>
    </w:p>
    <w:p>
      <w:pPr>
        <w:numPr>
          <w:ilvl w:val="0"/>
          <w:numId w:val="6"/>
        </w:numPr>
        <w:adjustRightInd w:val="0"/>
        <w:snapToGrid w:val="0"/>
        <w:spacing w:line="600" w:lineRule="exact"/>
        <w:ind w:firstLine="562" w:firstLineChars="200"/>
        <w:jc w:val="left"/>
        <w:rPr>
          <w:rFonts w:hint="eastAsia" w:ascii="Times New Roman" w:hAnsi="Times New Roman" w:eastAsia="黑体"/>
          <w:b/>
          <w:sz w:val="28"/>
          <w:szCs w:val="28"/>
        </w:rPr>
      </w:pPr>
      <w:r>
        <w:rPr>
          <w:rFonts w:hint="eastAsia" w:ascii="Times New Roman" w:hAnsi="Times New Roman" w:eastAsia="黑体"/>
          <w:b/>
          <w:sz w:val="28"/>
          <w:szCs w:val="28"/>
        </w:rPr>
        <w:t>代谢与营养</w:t>
      </w:r>
    </w:p>
    <w:p>
      <w:pPr>
        <w:wordWrap w:val="0"/>
        <w:adjustRightInd w:val="0"/>
        <w:snapToGrid w:val="0"/>
        <w:spacing w:line="600" w:lineRule="exact"/>
        <w:ind w:firstLine="562" w:firstLineChars="200"/>
        <w:jc w:val="left"/>
        <w:rPr>
          <w:rFonts w:ascii="仿宋_GB2312" w:hAnsi="仿宋_GB2312" w:eastAsia="仿宋_GB2312"/>
          <w:color w:val="000000"/>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生物化学与分子生物学既是生命科学的基础，又是生命科学的前沿，是医学生的必修专业基础课之一。物质的代谢是生物化学中最重要的内容之一，主要讲述了三大营养物质（糖、脂、蛋白质）、核酸及非营养物质（激素、毒物、药物等）在机体中的代谢及调控情况。事实上，物质的代谢不仅与生命运动、与医学密切相关，与我们的生活也有着丝丝缕缕无法切割的联系。我们的日常饮食、我们在特殊生理时期（儿童、孕期、老年）的营养、我们一直关注的问题（健身、减肥）等都与物质的代谢密不可分。而在特殊的病理情况下（糖尿病、高血压、高血脂、冠心病、痛风），更要结合物质代谢进行合理饮食。</w:t>
      </w:r>
    </w:p>
    <w:p>
      <w:pPr>
        <w:wordWrap w:val="0"/>
        <w:adjustRightInd w:val="0"/>
        <w:snapToGrid w:val="0"/>
        <w:spacing w:line="600" w:lineRule="exact"/>
        <w:ind w:firstLine="560" w:firstLineChars="200"/>
        <w:jc w:val="left"/>
        <w:rPr>
          <w:rFonts w:hint="eastAsia" w:ascii="Times New Roman" w:hAnsi="Times New Roman" w:eastAsia="仿宋_GB2312"/>
          <w:b w:val="0"/>
          <w:bCs w:val="0"/>
          <w:sz w:val="28"/>
          <w:szCs w:val="28"/>
          <w:lang w:eastAsia="zh-CN"/>
        </w:rPr>
      </w:pPr>
      <w:r>
        <w:rPr>
          <w:rFonts w:hint="eastAsia" w:ascii="仿宋_GB2312" w:hAnsi="仿宋_GB2312" w:eastAsia="仿宋_GB2312"/>
          <w:color w:val="000000"/>
          <w:sz w:val="28"/>
          <w:szCs w:val="28"/>
        </w:rPr>
        <w:t>本课程旨在结合现实生活的需求，对人体中的物质代谢情况进行讲解和学习。不仅要掌握基础的代谢知识，更要学会如何结合实践灵活运用知识，并对我们的生活和工作起到科学的指导作用。</w:t>
      </w:r>
    </w:p>
    <w:p>
      <w:pPr>
        <w:keepNext w:val="0"/>
        <w:keepLines w:val="0"/>
        <w:widowControl w:val="0"/>
        <w:numPr>
          <w:ilvl w:val="0"/>
          <w:numId w:val="6"/>
        </w:numPr>
        <w:suppressLineNumbers w:val="0"/>
        <w:adjustRightInd w:val="0"/>
        <w:snapToGrid w:val="0"/>
        <w:spacing w:before="0" w:beforeAutospacing="0" w:after="0" w:afterAutospacing="0" w:line="600" w:lineRule="exact"/>
        <w:ind w:left="0" w:leftChars="0" w:right="0" w:firstLine="562" w:firstLineChars="200"/>
        <w:jc w:val="left"/>
        <w:rPr>
          <w:rFonts w:hint="default" w:ascii="Times New Roman" w:hAnsi="Times New Roman" w:eastAsia="黑体" w:cs="Times New Roman"/>
          <w:b/>
          <w:bCs w:val="0"/>
          <w:sz w:val="28"/>
          <w:szCs w:val="28"/>
          <w:lang w:val="en-US"/>
        </w:rPr>
      </w:pPr>
      <w:r>
        <w:rPr>
          <w:rFonts w:hint="eastAsia" w:ascii="黑体" w:hAnsi="宋体" w:eastAsia="黑体" w:cs="黑体"/>
          <w:b/>
          <w:bCs w:val="0"/>
          <w:kern w:val="2"/>
          <w:sz w:val="28"/>
          <w:szCs w:val="28"/>
          <w:lang w:val="en-US" w:eastAsia="zh-CN" w:bidi="ar"/>
        </w:rPr>
        <w:t>人体解剖学（</w:t>
      </w:r>
      <w:r>
        <w:rPr>
          <w:rFonts w:hint="default" w:ascii="Times New Roman" w:hAnsi="Times New Roman" w:eastAsia="黑体" w:cs="Times New Roman"/>
          <w:b/>
          <w:bCs w:val="0"/>
          <w:kern w:val="2"/>
          <w:sz w:val="28"/>
          <w:szCs w:val="28"/>
          <w:lang w:val="en-US" w:eastAsia="zh-CN" w:bidi="ar"/>
        </w:rPr>
        <w:t>Human Anatomy</w:t>
      </w:r>
      <w:r>
        <w:rPr>
          <w:rFonts w:hint="eastAsia" w:ascii="黑体" w:hAnsi="宋体" w:eastAsia="黑体" w:cs="黑体"/>
          <w:b/>
          <w:bCs w:val="0"/>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firstLine="562" w:firstLineChars="200"/>
        <w:jc w:val="left"/>
        <w:rPr>
          <w:rFonts w:hint="default" w:ascii="Times New Roman" w:hAnsi="Times New Roman" w:eastAsia="仿宋_GB2312" w:cs="Times New Roman"/>
          <w:b/>
          <w:bCs/>
          <w:sz w:val="28"/>
          <w:szCs w:val="28"/>
          <w:lang w:val="en-US"/>
        </w:rPr>
      </w:pPr>
      <w:r>
        <w:rPr>
          <w:rFonts w:hint="eastAsia" w:ascii="仿宋_GB2312" w:hAnsi="仿宋_GB2312" w:eastAsia="宋体" w:cs="宋体"/>
          <w:b/>
          <w:bCs/>
          <w:kern w:val="2"/>
          <w:sz w:val="28"/>
          <w:szCs w:val="28"/>
          <w:lang w:val="en-US" w:eastAsia="zh-CN" w:bidi="ar"/>
        </w:rPr>
        <w:t>课程网址</w:t>
      </w:r>
      <w:r>
        <w:rPr>
          <w:rFonts w:hint="eastAsia" w:ascii="仿宋_GB2312" w:hAnsi="仿宋_GB2312" w:eastAsia="宋体" w:cs="宋体"/>
          <w:kern w:val="2"/>
          <w:sz w:val="28"/>
          <w:szCs w:val="28"/>
          <w:lang w:val="en-US" w:eastAsia="zh-CN" w:bidi="ar"/>
        </w:rPr>
        <w:t>：</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"https://mooc1.chaoxing.com/course/217514006.html" </w:instrText>
      </w:r>
      <w:r>
        <w:rPr>
          <w:rFonts w:hint="default" w:ascii="Calibri" w:hAnsi="Calibri" w:eastAsia="宋体" w:cs="Times New Roman"/>
          <w:kern w:val="2"/>
          <w:sz w:val="21"/>
          <w:szCs w:val="21"/>
          <w:lang w:val="en-US" w:eastAsia="zh-CN" w:bidi="ar"/>
        </w:rPr>
        <w:fldChar w:fldCharType="separate"/>
      </w:r>
      <w:r>
        <w:rPr>
          <w:rStyle w:val="10"/>
          <w:color w:val="0070C0"/>
          <w:u w:val="single"/>
          <w:lang w:val="en-US"/>
        </w:rPr>
        <w:t>https://mooc1.chaoxing.com/course/217514006.html</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adjustRightInd w:val="0"/>
        <w:snapToGrid w:val="0"/>
        <w:spacing w:before="0" w:beforeAutospacing="0" w:after="0" w:afterAutospacing="0" w:line="600" w:lineRule="exact"/>
        <w:ind w:left="0" w:right="0" w:firstLine="562" w:firstLineChars="200"/>
        <w:jc w:val="left"/>
        <w:rPr>
          <w:rFonts w:hint="default" w:ascii="Times New Roman" w:hAnsi="Times New Roman" w:eastAsia="仿宋_GB2312" w:cs="Times New Roman"/>
          <w:sz w:val="28"/>
          <w:szCs w:val="28"/>
          <w:lang w:val="en-US"/>
        </w:rPr>
      </w:pPr>
      <w:r>
        <w:rPr>
          <w:rFonts w:hint="eastAsia" w:ascii="仿宋_GB2312" w:hAnsi="仿宋_GB2312" w:eastAsia="宋体" w:cs="宋体"/>
          <w:b/>
          <w:bCs/>
          <w:kern w:val="2"/>
          <w:sz w:val="28"/>
          <w:szCs w:val="28"/>
          <w:lang w:val="en-US" w:eastAsia="zh-CN" w:bidi="ar"/>
        </w:rPr>
        <w:t>课程简介</w:t>
      </w:r>
      <w:r>
        <w:rPr>
          <w:rFonts w:hint="eastAsia" w:ascii="仿宋_GB2312" w:hAnsi="仿宋_GB2312" w:eastAsia="宋体" w:cs="宋体"/>
          <w:kern w:val="2"/>
          <w:sz w:val="28"/>
          <w:szCs w:val="28"/>
          <w:lang w:val="en-US" w:eastAsia="zh-CN" w:bidi="ar"/>
        </w:rPr>
        <w:t>：人体解剖学是最古老和最经典的医学基础课之一，主要研究内容为正常人体形态结构，本</w:t>
      </w:r>
      <w:r>
        <w:rPr>
          <w:rFonts w:hint="eastAsia" w:ascii="宋体" w:hAnsi="宋体" w:eastAsia="宋体" w:cs="宋体"/>
          <w:kern w:val="2"/>
          <w:sz w:val="28"/>
          <w:szCs w:val="28"/>
          <w:lang w:val="en-US" w:eastAsia="zh-CN" w:bidi="ar"/>
        </w:rPr>
        <w:t>课程按照人体功能将人体划分为九大系统，依次介绍各个系统中的器官结构，介绍内容侧重科普，大量融入人文元素，联系生活日常，尽可能使专业知识通俗易懂，帮助同学们了解人体构造，熟悉重要器官的正常形态结构、位置毗邻及其功能意义。</w:t>
      </w:r>
    </w:p>
    <w:p>
      <w:pPr>
        <w:keepNext w:val="0"/>
        <w:keepLines w:val="0"/>
        <w:widowControl w:val="0"/>
        <w:suppressLineNumbers w:val="0"/>
        <w:adjustRightInd w:val="0"/>
        <w:snapToGrid w:val="0"/>
        <w:spacing w:before="0" w:beforeAutospacing="0" w:after="0" w:afterAutospacing="0" w:line="600" w:lineRule="exact"/>
        <w:ind w:left="0" w:right="0" w:firstLine="562" w:firstLineChars="200"/>
        <w:jc w:val="left"/>
        <w:rPr>
          <w:rFonts w:hint="eastAsia" w:ascii="宋体" w:hAnsi="宋体" w:eastAsia="宋体" w:cs="宋体"/>
          <w:kern w:val="2"/>
          <w:sz w:val="28"/>
          <w:szCs w:val="28"/>
          <w:lang w:val="en-US" w:eastAsia="zh-CN" w:bidi="ar"/>
        </w:rPr>
      </w:pPr>
      <w:r>
        <w:rPr>
          <w:rFonts w:hint="eastAsia" w:ascii="仿宋_GB2312" w:hAnsi="仿宋_GB2312" w:eastAsia="宋体" w:cs="宋体"/>
          <w:b/>
          <w:bCs/>
          <w:kern w:val="2"/>
          <w:sz w:val="28"/>
          <w:szCs w:val="28"/>
          <w:lang w:val="en-US" w:eastAsia="zh-CN" w:bidi="ar"/>
        </w:rPr>
        <w:t>学习要求</w:t>
      </w:r>
      <w:r>
        <w:rPr>
          <w:rFonts w:hint="eastAsia" w:ascii="仿宋_GB2312" w:hAnsi="仿宋_GB2312" w:eastAsia="宋体" w:cs="宋体"/>
          <w:kern w:val="2"/>
          <w:sz w:val="28"/>
          <w:szCs w:val="28"/>
          <w:lang w:val="en-US" w:eastAsia="zh-CN" w:bidi="ar"/>
        </w:rPr>
        <w:t>：</w:t>
      </w:r>
      <w:r>
        <w:rPr>
          <w:rFonts w:hint="eastAsia" w:ascii="宋体" w:hAnsi="宋体" w:eastAsia="宋体" w:cs="宋体"/>
          <w:kern w:val="2"/>
          <w:sz w:val="28"/>
          <w:szCs w:val="28"/>
          <w:lang w:val="en-US" w:eastAsia="zh-CN" w:bidi="ar"/>
        </w:rPr>
        <w:t>借助超星学习平台，通过在线学习视频与讲义</w:t>
      </w:r>
      <w:r>
        <w:rPr>
          <w:rFonts w:hint="default" w:ascii="Times New Roman" w:hAnsi="Times New Roman" w:eastAsia="仿宋_GB2312" w:cs="Times New Roman"/>
          <w:kern w:val="2"/>
          <w:sz w:val="28"/>
          <w:szCs w:val="28"/>
          <w:lang w:val="en-US" w:eastAsia="zh-CN" w:bidi="ar"/>
        </w:rPr>
        <w:t>PPT</w:t>
      </w:r>
      <w:r>
        <w:rPr>
          <w:rFonts w:hint="eastAsia" w:ascii="宋体" w:hAnsi="宋体" w:eastAsia="宋体" w:cs="宋体"/>
          <w:kern w:val="2"/>
          <w:sz w:val="28"/>
          <w:szCs w:val="28"/>
          <w:lang w:val="en-US" w:eastAsia="zh-CN" w:bidi="ar"/>
        </w:rPr>
        <w:t>，参与问题讨论、完成测验与作业、参加期末线上考试。如有疑问，可通过</w:t>
      </w:r>
      <w:r>
        <w:rPr>
          <w:rFonts w:hint="default" w:ascii="Times New Roman" w:hAnsi="Times New Roman" w:eastAsia="仿宋_GB2312" w:cs="Times New Roman"/>
          <w:kern w:val="2"/>
          <w:sz w:val="28"/>
          <w:szCs w:val="28"/>
          <w:lang w:val="en-US" w:eastAsia="zh-CN" w:bidi="ar"/>
        </w:rPr>
        <w:t>QQ</w:t>
      </w:r>
      <w:r>
        <w:rPr>
          <w:rFonts w:hint="eastAsia" w:ascii="宋体" w:hAnsi="宋体" w:eastAsia="宋体" w:cs="宋体"/>
          <w:kern w:val="2"/>
          <w:sz w:val="28"/>
          <w:szCs w:val="28"/>
          <w:lang w:val="en-US" w:eastAsia="zh-CN" w:bidi="ar"/>
        </w:rPr>
        <w:t>群交流研讨。</w:t>
      </w:r>
    </w:p>
    <w:p>
      <w:pPr>
        <w:numPr>
          <w:ilvl w:val="0"/>
          <w:numId w:val="6"/>
        </w:numPr>
        <w:snapToGrid w:val="0"/>
        <w:spacing w:line="600" w:lineRule="exact"/>
        <w:ind w:left="0" w:leftChars="0"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儿童保健学</w:t>
      </w:r>
    </w:p>
    <w:p>
      <w:pPr>
        <w:numPr>
          <w:ilvl w:val="0"/>
          <w:numId w:val="0"/>
        </w:numPr>
        <w:snapToGrid w:val="0"/>
        <w:spacing w:line="600" w:lineRule="exact"/>
        <w:ind w:left="0" w:leftChars="0" w:firstLine="562" w:firstLineChars="200"/>
        <w:rPr>
          <w:rFonts w:hint="default" w:ascii="Times New Roman" w:hAnsi="Times New Roman" w:eastAsia="仿宋_GB2312"/>
          <w:b/>
          <w:bCs/>
          <w:sz w:val="28"/>
          <w:szCs w:val="28"/>
          <w:lang w:eastAsia="zh-CN"/>
        </w:rPr>
      </w:pPr>
      <w:r>
        <w:rPr>
          <w:rFonts w:hint="eastAsia" w:ascii="仿宋_GB2312" w:hAnsi="仿宋_GB2312" w:eastAsia="宋体" w:cs="宋体"/>
          <w:b/>
          <w:bCs/>
          <w:kern w:val="2"/>
          <w:sz w:val="28"/>
          <w:szCs w:val="28"/>
          <w:lang w:val="en-US" w:eastAsia="zh-CN" w:bidi="ar"/>
        </w:rPr>
        <w:t>课程网址</w:t>
      </w:r>
      <w:r>
        <w:rPr>
          <w:rFonts w:hint="eastAsia" w:ascii="仿宋_GB2312" w:hAnsi="仿宋_GB2312" w:eastAsia="宋体" w:cs="宋体"/>
          <w:kern w:val="2"/>
          <w:sz w:val="28"/>
          <w:szCs w:val="28"/>
          <w:lang w:val="en-US" w:eastAsia="zh-CN" w:bidi="ar"/>
        </w:rPr>
        <w:t>：</w:t>
      </w:r>
    </w:p>
    <w:p>
      <w:pPr>
        <w:numPr>
          <w:ilvl w:val="0"/>
          <w:numId w:val="0"/>
        </w:numPr>
        <w:snapToGrid w:val="0"/>
        <w:spacing w:line="600" w:lineRule="exact"/>
        <w:ind w:leftChars="200"/>
        <w:rPr>
          <w:rFonts w:hint="default" w:ascii="仿宋_GB2312" w:hAnsi="仿宋_GB2312" w:eastAsia="仿宋_GB2312" w:cs="仿宋_GB2312"/>
          <w:i w:val="0"/>
          <w:iCs w:val="0"/>
          <w:caps w:val="0"/>
          <w:color w:val="333333"/>
          <w:spacing w:val="0"/>
          <w:kern w:val="0"/>
          <w:sz w:val="28"/>
          <w:szCs w:val="28"/>
          <w:lang w:val="en-US" w:eastAsia="zh-CN" w:bidi="ar"/>
        </w:rPr>
      </w:pPr>
      <w:r>
        <w:rPr>
          <w:rFonts w:hint="default" w:ascii="Times New Roman" w:hAnsi="Times New Roman" w:eastAsia="仿宋_GB2312"/>
          <w:b/>
          <w:bCs/>
          <w:sz w:val="28"/>
          <w:szCs w:val="28"/>
          <w:lang w:eastAsia="zh-CN"/>
        </w:rPr>
        <w:t xml:space="preserve"> </w:t>
      </w:r>
      <w:r>
        <w:rPr>
          <w:rFonts w:hint="eastAsia" w:ascii="仿宋_GB2312" w:hAnsi="仿宋_GB2312" w:eastAsia="仿宋_GB2312"/>
          <w:b/>
          <w:bCs/>
          <w:color w:val="000000"/>
          <w:sz w:val="28"/>
          <w:szCs w:val="28"/>
        </w:rPr>
        <w:t>课程简介</w:t>
      </w:r>
      <w:r>
        <w:rPr>
          <w:rFonts w:hint="eastAsia" w:ascii="仿宋_GB2312" w:hAnsi="仿宋_GB2312" w:eastAsia="仿宋_GB2312"/>
          <w:b w:val="0"/>
          <w:bCs w:val="0"/>
          <w:color w:val="000000"/>
          <w:sz w:val="28"/>
          <w:szCs w:val="28"/>
        </w:rPr>
        <w:t>：</w:t>
      </w:r>
      <w:r>
        <w:rPr>
          <w:rFonts w:hint="default" w:ascii="仿宋_GB2312" w:hAnsi="仿宋_GB2312" w:eastAsia="仿宋_GB2312" w:cs="仿宋_GB2312"/>
          <w:i w:val="0"/>
          <w:iCs w:val="0"/>
          <w:caps w:val="0"/>
          <w:color w:val="333333"/>
          <w:spacing w:val="0"/>
          <w:kern w:val="0"/>
          <w:sz w:val="28"/>
          <w:szCs w:val="28"/>
          <w:lang w:val="en-US" w:eastAsia="zh-CN" w:bidi="ar"/>
        </w:rPr>
        <w:t>儿童保健学是一门兼有预防医学与临床医学特色的医学学科，依据“促进健康、预防为主、防治结合”的原则，以保护和促进儿童生理、心理和社会能力等发育潜力的全面发展为目标。儿童保健学是研究儿童的生长发育、营养与喂养、疾病防治、健康管理和生命监测等一门综合性学科，针对儿童群体和个体采取有效防治措施，融专业技术、科学研究及行政管理于一体，研究内容广泛，与发育儿科学、预防儿科学、社会儿科学、儿童发展心理学、儿童营养学、发育行为儿科学、统计学等有着密切关系。是儿科学中最具特色的学科之一。</w:t>
      </w:r>
    </w:p>
    <w:p>
      <w:pPr>
        <w:numPr>
          <w:ilvl w:val="0"/>
          <w:numId w:val="0"/>
        </w:numPr>
        <w:snapToGrid w:val="0"/>
        <w:spacing w:line="600" w:lineRule="exact"/>
        <w:ind w:leftChars="200" w:firstLine="560" w:firstLineChars="200"/>
        <w:rPr>
          <w:rFonts w:hint="default" w:ascii="仿宋_GB2312" w:hAnsi="仿宋_GB2312" w:eastAsia="仿宋_GB2312" w:cs="仿宋_GB2312"/>
          <w:i w:val="0"/>
          <w:iCs w:val="0"/>
          <w:caps w:val="0"/>
          <w:color w:val="333333"/>
          <w:spacing w:val="0"/>
          <w:kern w:val="0"/>
          <w:sz w:val="28"/>
          <w:szCs w:val="28"/>
          <w:lang w:val="en-US" w:eastAsia="zh-CN" w:bidi="ar"/>
        </w:rPr>
      </w:pPr>
      <w:r>
        <w:rPr>
          <w:rFonts w:hint="default" w:ascii="仿宋_GB2312" w:hAnsi="仿宋_GB2312" w:eastAsia="仿宋_GB2312" w:cs="仿宋_GB2312"/>
          <w:i w:val="0"/>
          <w:iCs w:val="0"/>
          <w:caps w:val="0"/>
          <w:color w:val="333333"/>
          <w:spacing w:val="0"/>
          <w:kern w:val="0"/>
          <w:sz w:val="28"/>
          <w:szCs w:val="28"/>
          <w:lang w:val="en-US" w:eastAsia="zh-CN" w:bidi="ar"/>
        </w:rPr>
        <w:t xml:space="preserve">本次课程主要内容包括：儿童保健学绪论、体格生长和偏离、神经心理发育和偏离、儿童营养与喂养、营养不良与营养相关疾病、食物过敏、环境污染性疾病、免疫规划、新生儿筛查、儿童保健工作内容及儿童生长发育病史书写。课程内容丰富，通过对课程的学习，可以掌握儿童体格生长规律、神经心理发育规律、儿童营养喂养知识，了解注意缺陷多动障碍、孤独症谱系障碍、营养不良、肥胖、维生素D缺乏等疾病，以及正常儿童的营养促进、早期发展、潜能开发等知识。本课程的研究和服务对象年龄跨度大、变化多；与各学科（如营养学、心理学、教育学和医学社会学等）密切相关；且具有广泛的群众性特征。向儿科及儿童保健医务人员、幼儿教师等儿童工作者、儿童父母和带养人等传递儿童保健新知识、新技术、新理念，以保障儿童的体格生长、心理健康、智能发育和社会应对能力得到全面均衡的发展，对促进儿童早期发展影响深远。 </w:t>
      </w:r>
    </w:p>
    <w:p>
      <w:pPr>
        <w:keepNext w:val="0"/>
        <w:keepLines w:val="0"/>
        <w:widowControl w:val="0"/>
        <w:suppressLineNumbers w:val="0"/>
        <w:adjustRightInd w:val="0"/>
        <w:snapToGrid w:val="0"/>
        <w:spacing w:before="0" w:beforeAutospacing="0" w:after="0" w:afterAutospacing="0" w:line="600" w:lineRule="exact"/>
        <w:ind w:left="0" w:right="0" w:firstLine="562" w:firstLineChars="200"/>
        <w:jc w:val="left"/>
        <w:rPr>
          <w:rFonts w:hint="eastAsia" w:ascii="Times New Roman" w:hAnsi="Times New Roman" w:eastAsia="仿宋_GB2312"/>
          <w:b w:val="0"/>
          <w:bCs w:val="0"/>
          <w:sz w:val="28"/>
          <w:szCs w:val="28"/>
          <w:lang w:eastAsia="zh-CN"/>
        </w:rPr>
      </w:pPr>
      <w:r>
        <w:rPr>
          <w:rFonts w:hint="default" w:ascii="仿宋_GB2312" w:hAnsi="仿宋_GB2312" w:eastAsia="仿宋_GB2312" w:cs="仿宋_GB2312"/>
          <w:b/>
          <w:bCs/>
          <w:kern w:val="2"/>
          <w:sz w:val="28"/>
          <w:szCs w:val="28"/>
          <w:lang w:val="en-US" w:eastAsia="zh-CN" w:bidi="ar"/>
        </w:rPr>
        <w:t>学习要求</w:t>
      </w:r>
      <w:r>
        <w:rPr>
          <w:rFonts w:hint="default" w:ascii="仿宋_GB2312" w:hAnsi="仿宋_GB2312" w:eastAsia="仿宋_GB2312" w:cs="仿宋_GB2312"/>
          <w:kern w:val="2"/>
          <w:sz w:val="28"/>
          <w:szCs w:val="28"/>
          <w:lang w:val="en-US" w:eastAsia="zh-CN" w:bidi="ar"/>
        </w:rPr>
        <w:t>：通过在线视频自学，完成测验，参加期末线上考试。</w:t>
      </w:r>
    </w:p>
    <w:p>
      <w:pPr>
        <w:numPr>
          <w:ilvl w:val="0"/>
          <w:numId w:val="6"/>
        </w:numPr>
        <w:snapToGrid w:val="0"/>
        <w:spacing w:line="600" w:lineRule="exact"/>
        <w:ind w:left="0" w:leftChars="0" w:firstLine="562" w:firstLineChars="200"/>
        <w:rPr>
          <w:rFonts w:hint="default" w:ascii="Times New Roman" w:hAnsi="Times New Roman" w:eastAsia="仿宋_GB2312"/>
          <w:b/>
          <w:bCs/>
          <w:sz w:val="28"/>
          <w:szCs w:val="28"/>
          <w:lang w:eastAsia="zh-CN"/>
        </w:rPr>
      </w:pPr>
      <w:r>
        <w:rPr>
          <w:rFonts w:hint="eastAsia" w:ascii="黑体" w:hAnsi="黑体" w:eastAsia="黑体" w:cs="黑体"/>
          <w:b/>
          <w:bCs/>
          <w:sz w:val="28"/>
          <w:szCs w:val="28"/>
          <w:lang w:eastAsia="zh-CN"/>
        </w:rPr>
        <w:t>美容临床心理学</w:t>
      </w:r>
      <w:r>
        <w:rPr>
          <w:rFonts w:hint="default" w:ascii="Times New Roman" w:hAnsi="Times New Roman" w:eastAsia="仿宋_GB2312"/>
          <w:b/>
          <w:bCs/>
          <w:sz w:val="28"/>
          <w:szCs w:val="28"/>
          <w:lang w:eastAsia="zh-CN"/>
        </w:rPr>
        <w:t>（Clinical Psychology of Cosmetology）</w:t>
      </w:r>
    </w:p>
    <w:p>
      <w:pPr>
        <w:numPr>
          <w:ilvl w:val="0"/>
          <w:numId w:val="0"/>
        </w:numPr>
        <w:snapToGrid w:val="0"/>
        <w:spacing w:line="600" w:lineRule="exact"/>
        <w:ind w:leftChars="200"/>
        <w:rPr>
          <w:rFonts w:hint="default" w:ascii="Times New Roman" w:hAnsi="Times New Roman" w:eastAsia="仿宋_GB2312"/>
          <w:b w:val="0"/>
          <w:bCs w:val="0"/>
          <w:sz w:val="28"/>
          <w:szCs w:val="28"/>
          <w:lang w:eastAsia="zh-CN"/>
        </w:rPr>
      </w:pPr>
      <w:r>
        <w:rPr>
          <w:rFonts w:hint="default" w:ascii="Times New Roman" w:hAnsi="Times New Roman" w:eastAsia="仿宋_GB2312"/>
          <w:b w:val="0"/>
          <w:bCs w:val="0"/>
          <w:sz w:val="28"/>
          <w:szCs w:val="28"/>
          <w:lang w:eastAsia="zh-CN"/>
        </w:rPr>
        <w:t>课程网址:</w:t>
      </w:r>
    </w:p>
    <w:p>
      <w:pPr>
        <w:numPr>
          <w:ilvl w:val="0"/>
          <w:numId w:val="0"/>
        </w:numPr>
        <w:snapToGrid w:val="0"/>
        <w:spacing w:line="600" w:lineRule="exact"/>
        <w:ind w:leftChars="200"/>
        <w:rPr>
          <w:rFonts w:hint="default" w:ascii="Times New Roman" w:hAnsi="Times New Roman" w:eastAsia="仿宋_GB2312"/>
          <w:b w:val="0"/>
          <w:bCs w:val="0"/>
          <w:sz w:val="28"/>
          <w:szCs w:val="28"/>
          <w:lang w:eastAsia="zh-CN"/>
        </w:rPr>
      </w:pPr>
      <w:r>
        <w:rPr>
          <w:rFonts w:hint="default" w:ascii="Times New Roman" w:hAnsi="Times New Roman" w:eastAsia="仿宋_GB2312"/>
          <w:b w:val="0"/>
          <w:bCs w:val="0"/>
          <w:sz w:val="28"/>
          <w:szCs w:val="28"/>
          <w:lang w:eastAsia="zh-CN"/>
        </w:rPr>
        <w:t>课程简介:美容临床心理学是伴随着美容医学发展而逐步建立起来的。在国内20余年美容医学发展历史中，一个突出的现象是许多美容临床医师自发地关注美容临床实践中的心理问题。正是美容医学临床实践的需要，决定了美容临床心理学的确定与发展，自然也是医学模式的转变在美容医学实践中最为真切的体现，因为美容医学最能体现生理，心理-社会医学模式的精髓。</w:t>
      </w:r>
    </w:p>
    <w:p>
      <w:pPr>
        <w:numPr>
          <w:ilvl w:val="0"/>
          <w:numId w:val="0"/>
        </w:numPr>
        <w:snapToGrid w:val="0"/>
        <w:spacing w:line="600" w:lineRule="exact"/>
        <w:ind w:leftChars="200"/>
        <w:rPr>
          <w:rFonts w:hint="default" w:ascii="Times New Roman" w:hAnsi="Times New Roman" w:eastAsia="仿宋_GB2312"/>
          <w:b w:val="0"/>
          <w:bCs w:val="0"/>
          <w:sz w:val="28"/>
          <w:szCs w:val="28"/>
          <w:lang w:eastAsia="zh-CN"/>
        </w:rPr>
      </w:pPr>
      <w:r>
        <w:rPr>
          <w:rFonts w:hint="default" w:ascii="Times New Roman" w:hAnsi="Times New Roman" w:eastAsia="仿宋_GB2312"/>
          <w:b w:val="0"/>
          <w:bCs w:val="0"/>
          <w:sz w:val="28"/>
          <w:szCs w:val="28"/>
          <w:lang w:eastAsia="zh-CN"/>
        </w:rPr>
        <w:t xml:space="preserve">   作为应用心理学之一的美容临床心理学包括的内容比较多，概括起来主要有容貌审美心理学、美容心理咨询与护理心理学，以及美容临床心身疾病等。</w:t>
      </w:r>
    </w:p>
    <w:p>
      <w:pPr>
        <w:numPr>
          <w:ilvl w:val="0"/>
          <w:numId w:val="0"/>
        </w:numPr>
        <w:snapToGrid w:val="0"/>
        <w:spacing w:line="600" w:lineRule="exact"/>
        <w:ind w:leftChars="200"/>
        <w:rPr>
          <w:rFonts w:hint="default" w:ascii="Times New Roman" w:hAnsi="Times New Roman" w:eastAsia="仿宋_GB2312"/>
          <w:b w:val="0"/>
          <w:bCs w:val="0"/>
          <w:sz w:val="28"/>
          <w:szCs w:val="28"/>
          <w:lang w:eastAsia="zh-CN"/>
        </w:rPr>
      </w:pPr>
      <w:r>
        <w:rPr>
          <w:rFonts w:hint="default" w:ascii="Times New Roman" w:hAnsi="Times New Roman" w:eastAsia="仿宋_GB2312"/>
          <w:b w:val="0"/>
          <w:bCs w:val="0"/>
          <w:sz w:val="28"/>
          <w:szCs w:val="28"/>
          <w:lang w:eastAsia="zh-CN"/>
        </w:rPr>
        <w:t xml:space="preserve">  本课程主要针对临床医学特别是美容医学专业的学生，课程的内容主要是美容临床实践中所涉及的心理学问题。通过临床案例分析，把心理学知识和临床美容医学相结合，使医学生在关注美容问题同时关注心理问题的治疗，真正理解生理，心理-社会医学模式的精髓。</w:t>
      </w:r>
    </w:p>
    <w:p>
      <w:pPr>
        <w:numPr>
          <w:ilvl w:val="0"/>
          <w:numId w:val="0"/>
        </w:numPr>
        <w:snapToGrid w:val="0"/>
        <w:spacing w:line="600" w:lineRule="exact"/>
        <w:ind w:leftChars="200"/>
        <w:rPr>
          <w:rFonts w:hint="default" w:ascii="Times New Roman" w:hAnsi="Times New Roman" w:eastAsia="仿宋_GB2312"/>
          <w:b w:val="0"/>
          <w:bCs w:val="0"/>
          <w:sz w:val="28"/>
          <w:szCs w:val="28"/>
          <w:lang w:eastAsia="zh-CN"/>
        </w:rPr>
      </w:pPr>
      <w:r>
        <w:rPr>
          <w:rFonts w:hint="default" w:ascii="Times New Roman" w:hAnsi="Times New Roman" w:eastAsia="仿宋_GB2312"/>
          <w:b w:val="0"/>
          <w:bCs w:val="0"/>
          <w:sz w:val="28"/>
          <w:szCs w:val="28"/>
          <w:lang w:eastAsia="zh-CN"/>
        </w:rPr>
        <w:t xml:space="preserve">   学习要求:通过超星平台的学习通进行课程线上学习，课程成绩包括在规定的时段观看课程的讲课视频，自主完成章节作业。课程还建立QQ学习群，方便师生间、学生间的交流。</w:t>
      </w:r>
    </w:p>
    <w:p>
      <w:pPr>
        <w:numPr>
          <w:ilvl w:val="0"/>
          <w:numId w:val="0"/>
        </w:numPr>
        <w:snapToGrid w:val="0"/>
        <w:spacing w:line="600" w:lineRule="exact"/>
        <w:ind w:leftChars="200"/>
        <w:rPr>
          <w:rFonts w:hint="eastAsia" w:ascii="Times New Roman" w:hAnsi="Times New Roman" w:eastAsia="仿宋_GB2312"/>
          <w:b w:val="0"/>
          <w:bCs w:val="0"/>
          <w:sz w:val="28"/>
          <w:szCs w:val="28"/>
          <w:lang w:val="en-US" w:eastAsia="zh-CN"/>
        </w:rPr>
      </w:pP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中国药科大学</w:t>
      </w:r>
    </w:p>
    <w:p>
      <w:pPr>
        <w:snapToGrid w:val="0"/>
        <w:spacing w:line="600" w:lineRule="exact"/>
        <w:ind w:firstLine="560" w:firstLineChars="200"/>
        <w:jc w:val="left"/>
        <w:rPr>
          <w:rFonts w:hint="eastAsia" w:ascii="黑体" w:hAnsi="黑体" w:eastAsia="黑体"/>
          <w:b/>
          <w:bCs/>
          <w:color w:val="000000"/>
          <w:sz w:val="28"/>
          <w:szCs w:val="28"/>
          <w:lang w:eastAsia="zh-CN"/>
        </w:rPr>
      </w:pPr>
      <w:r>
        <w:rPr>
          <w:rFonts w:ascii="Times New Roman" w:hAnsi="Times New Roman" w:eastAsia="Times New Roman"/>
          <w:b/>
          <w:bCs/>
          <w:color w:val="000000"/>
          <w:sz w:val="28"/>
          <w:szCs w:val="28"/>
        </w:rPr>
        <w:t xml:space="preserve">1. </w:t>
      </w:r>
      <w:r>
        <w:rPr>
          <w:rFonts w:ascii="黑体" w:hAnsi="黑体" w:eastAsia="黑体"/>
          <w:b/>
          <w:bCs/>
          <w:color w:val="000000"/>
          <w:sz w:val="28"/>
          <w:szCs w:val="28"/>
        </w:rPr>
        <w:t>中药与美容</w:t>
      </w:r>
      <w:r>
        <w:rPr>
          <w:rFonts w:hint="eastAsia" w:ascii="黑体" w:hAnsi="黑体" w:eastAsia="黑体"/>
          <w:b/>
          <w:bCs/>
          <w:color w:val="000000"/>
          <w:sz w:val="28"/>
          <w:szCs w:val="28"/>
          <w:lang w:eastAsia="zh-CN"/>
        </w:rPr>
        <w:t>（</w:t>
      </w:r>
      <w:r>
        <w:rPr>
          <w:rFonts w:hint="default" w:ascii="Times New Roman" w:hAnsi="Times New Roman" w:eastAsia="黑体" w:cs="Times New Roman"/>
          <w:b/>
          <w:bCs/>
          <w:color w:val="000000"/>
          <w:sz w:val="28"/>
          <w:szCs w:val="28"/>
          <w:lang w:eastAsia="zh-CN"/>
        </w:rPr>
        <w:t>Traditional Chinese Medicine and Beauty</w:t>
      </w:r>
      <w:r>
        <w:rPr>
          <w:rFonts w:hint="eastAsia" w:ascii="黑体" w:hAnsi="黑体" w:eastAsia="黑体"/>
          <w:b/>
          <w:bCs/>
          <w:color w:val="000000"/>
          <w:sz w:val="28"/>
          <w:szCs w:val="28"/>
          <w:lang w:eastAsia="zh-CN"/>
        </w:rPr>
        <w:t>）</w:t>
      </w:r>
    </w:p>
    <w:p>
      <w:pPr>
        <w:snapToGrid w:val="0"/>
        <w:spacing w:line="600" w:lineRule="exact"/>
        <w:ind w:firstLine="562" w:firstLineChars="200"/>
        <w:jc w:val="left"/>
        <w:rPr>
          <w:rFonts w:ascii="Times New Roman" w:hAnsi="Times New Roman" w:eastAsia="Times New Roman"/>
          <w:color w:val="000000"/>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ascii="Times New Roman" w:hAnsi="Times New Roman" w:eastAsia="Times New Roman"/>
          <w:color w:val="000000"/>
          <w:sz w:val="28"/>
          <w:szCs w:val="28"/>
        </w:rPr>
        <w:t>http://www.icourse163.org/course/CPU-1001573003</w:t>
      </w:r>
    </w:p>
    <w:p>
      <w:pPr>
        <w:snapToGrid w:val="0"/>
        <w:spacing w:line="600" w:lineRule="exact"/>
        <w:ind w:firstLine="562" w:firstLineChars="200"/>
        <w:rPr>
          <w:rFonts w:ascii="仿宋_GB2312" w:hAnsi="仿宋_GB2312" w:eastAsia="仿宋_GB2312"/>
          <w:color w:val="000000"/>
          <w:sz w:val="28"/>
          <w:szCs w:val="28"/>
        </w:rPr>
      </w:pPr>
      <w:r>
        <w:rPr>
          <w:rFonts w:ascii="仿宋_GB2312" w:hAnsi="仿宋_GB2312" w:eastAsia="仿宋_GB2312"/>
          <w:b/>
          <w:bCs/>
          <w:color w:val="000000"/>
          <w:sz w:val="28"/>
          <w:szCs w:val="28"/>
        </w:rPr>
        <w:t>课程简介</w:t>
      </w:r>
      <w:r>
        <w:rPr>
          <w:rFonts w:hint="eastAsia" w:ascii="仿宋_GB2312" w:hAnsi="仿宋_GB2312" w:eastAsia="仿宋_GB2312"/>
          <w:b w:val="0"/>
          <w:bCs w:val="0"/>
          <w:color w:val="000000"/>
          <w:sz w:val="28"/>
          <w:szCs w:val="28"/>
          <w:lang w:eastAsia="zh-CN"/>
        </w:rPr>
        <w:t>：</w:t>
      </w:r>
      <w:r>
        <w:rPr>
          <w:rFonts w:ascii="仿宋_GB2312" w:hAnsi="仿宋_GB2312" w:eastAsia="仿宋_GB2312"/>
          <w:color w:val="000000"/>
          <w:sz w:val="28"/>
          <w:szCs w:val="28"/>
        </w:rPr>
        <w:t>中药与美容是一门实用且时尚的中医药类课程，课程内容包括中药与美容绪言、中药与祛痘、中药与美白祛斑、中药与减肥瘦身、中药与抗皮肤老化五个部分。通过本课程的学习使学生了解中药美容的特点，熟悉常用的美容中药的功效，提高学生对常见的损容性疾病的认知并掌握一些基本的防治知识。</w:t>
      </w:r>
    </w:p>
    <w:p>
      <w:pPr>
        <w:snapToGrid w:val="0"/>
        <w:spacing w:line="600" w:lineRule="exact"/>
        <w:ind w:firstLine="562" w:firstLineChars="200"/>
        <w:rPr>
          <w:rFonts w:hint="default" w:ascii="仿宋_GB2312" w:hAnsi="仿宋_GB2312" w:eastAsia="仿宋_GB2312"/>
          <w:color w:val="000000"/>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课程以超星学习通为学习平台，平时成绩基于视频任务点、章节作业及课程讨论，期末参加线上全客观题测试卷。</w:t>
      </w: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南京中医药大学</w:t>
      </w:r>
    </w:p>
    <w:p>
      <w:pPr>
        <w:numPr>
          <w:ilvl w:val="0"/>
          <w:numId w:val="7"/>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走近名医</w:t>
      </w:r>
    </w:p>
    <w:p>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p>
    <w:p>
      <w:pPr>
        <w:adjustRightInd w:val="0"/>
        <w:snapToGrid w:val="0"/>
        <w:spacing w:line="600" w:lineRule="exact"/>
        <w:ind w:firstLine="562" w:firstLineChars="200"/>
        <w:jc w:val="left"/>
        <w:rPr>
          <w:rFonts w:ascii="华文仿宋" w:hAnsi="华文仿宋" w:eastAsia="华文仿宋" w:cs="华文仿宋"/>
          <w:bCs/>
          <w:sz w:val="28"/>
          <w:szCs w:val="28"/>
        </w:rPr>
      </w:pPr>
      <w:r>
        <w:rPr>
          <w:rFonts w:ascii="Times New Roman" w:hAnsi="Times New Roman" w:eastAsia="仿宋_GB2312"/>
          <w:b/>
          <w:sz w:val="28"/>
          <w:szCs w:val="28"/>
        </w:rPr>
        <w:t>课程简介</w:t>
      </w:r>
      <w:r>
        <w:rPr>
          <w:rFonts w:ascii="Times New Roman" w:hAnsi="Times New Roman" w:eastAsia="仿宋_GB2312"/>
          <w:b w:val="0"/>
          <w:bCs/>
          <w:sz w:val="28"/>
          <w:szCs w:val="28"/>
        </w:rPr>
        <w:t>：</w:t>
      </w:r>
      <w:r>
        <w:rPr>
          <w:rFonts w:hint="eastAsia" w:ascii="华文仿宋" w:hAnsi="华文仿宋" w:eastAsia="华文仿宋" w:cs="华文仿宋"/>
          <w:bCs/>
          <w:sz w:val="28"/>
          <w:szCs w:val="28"/>
        </w:rPr>
        <w:t>研读名家医案历来是中医学习进阶的必经之路，医案真实而完整地记录了医疗的全过程，最直接地反映了医家的临床思维。然而，如何选择医案、读懂医案，领会其中的精华又是十分困难的事。为了解决中医类专业学生中医临床思维能力弱化等问题，国家级教学团队南京中医药大学中医内科学团队领衔主编了全国中医药行业高等教育“十三五”创新教材，江苏省高等学校重点教材《中医内科名家医案讲析》（中国中医药出版社出版），开设《中医内科医案选析》课程，以此为蓝本的《走近名医》课程2020年获江苏省微课程竞赛二等奖。</w:t>
      </w:r>
    </w:p>
    <w:p>
      <w:pPr>
        <w:adjustRightInd w:val="0"/>
        <w:snapToGrid w:val="0"/>
        <w:spacing w:line="600" w:lineRule="exact"/>
        <w:ind w:firstLine="560" w:firstLineChars="200"/>
        <w:jc w:val="left"/>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《走近名医》课程介绍中医内科临床常见疾病的概念、病因病机、辨证要点及治疗原则</w:t>
      </w:r>
      <w:r>
        <w:rPr>
          <w:rFonts w:hint="default" w:ascii="华文仿宋" w:hAnsi="华文仿宋" w:eastAsia="华文仿宋" w:cs="华文仿宋"/>
          <w:bCs/>
          <w:sz w:val="28"/>
          <w:szCs w:val="28"/>
        </w:rPr>
        <w:t>等</w:t>
      </w:r>
      <w:r>
        <w:rPr>
          <w:rFonts w:hint="eastAsia" w:ascii="华文仿宋" w:hAnsi="华文仿宋" w:eastAsia="华文仿宋" w:cs="华文仿宋"/>
          <w:bCs/>
          <w:sz w:val="28"/>
          <w:szCs w:val="28"/>
        </w:rPr>
        <w:t>基本知识，更以真实的名家医案为切入点，针对教学重点难点，剖析名医诊治过程，讲解其理法方药运用思路，不仅传承名老中医药专家学术思想和临床诊疗经验，更能帮您深化对疾病相关基本知识的理解和运用，提升中医临床诊疗能力，拓展知常达变的中医临床思维，从而实现医学教学的重要目标。</w:t>
      </w:r>
    </w:p>
    <w:p>
      <w:pPr>
        <w:adjustRightInd w:val="0"/>
        <w:snapToGrid w:val="0"/>
        <w:spacing w:line="600" w:lineRule="exact"/>
        <w:ind w:firstLine="562" w:firstLineChars="200"/>
        <w:jc w:val="left"/>
        <w:rPr>
          <w:rFonts w:hint="eastAsia" w:ascii="华文仿宋" w:hAnsi="华文仿宋" w:eastAsia="华文仿宋" w:cs="华文仿宋"/>
          <w:bCs/>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p>
    <w:p>
      <w:pPr>
        <w:spacing w:line="600" w:lineRule="exact"/>
        <w:ind w:firstLine="560" w:firstLineChars="200"/>
        <w:rPr>
          <w:rFonts w:hint="eastAsia" w:ascii="仿宋_GB2312" w:hAnsi="华文仿宋" w:eastAsia="仿宋_GB2312" w:cs="华文仿宋"/>
          <w:bCs/>
          <w:sz w:val="28"/>
          <w:szCs w:val="28"/>
        </w:rPr>
      </w:pP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南京信息工程大学</w:t>
      </w:r>
    </w:p>
    <w:p>
      <w:pPr>
        <w:numPr>
          <w:numId w:val="0"/>
        </w:numPr>
        <w:spacing w:line="600" w:lineRule="exact"/>
        <w:ind w:firstLine="562" w:firstLineChars="200"/>
        <w:rPr>
          <w:rFonts w:ascii="Times New Roman" w:hAnsi="Times New Roman" w:eastAsia="黑体"/>
          <w:b/>
          <w:color w:val="auto"/>
          <w:sz w:val="28"/>
          <w:szCs w:val="28"/>
        </w:rPr>
      </w:pPr>
      <w:r>
        <w:rPr>
          <w:rFonts w:hint="eastAsia" w:ascii="Times New Roman" w:hAnsi="Times New Roman" w:eastAsia="黑体"/>
          <w:b/>
          <w:color w:val="auto"/>
          <w:sz w:val="28"/>
          <w:szCs w:val="28"/>
          <w:lang w:val="en-US" w:eastAsia="zh-CN"/>
        </w:rPr>
        <w:t>1.</w:t>
      </w:r>
      <w:r>
        <w:rPr>
          <w:rFonts w:hint="eastAsia" w:ascii="Times New Roman" w:hAnsi="Times New Roman" w:eastAsia="黑体"/>
          <w:b/>
          <w:color w:val="auto"/>
          <w:sz w:val="28"/>
          <w:szCs w:val="28"/>
        </w:rPr>
        <w:t>现代文学经典改编影片鉴赏</w:t>
      </w:r>
      <w:r>
        <w:rPr>
          <w:rFonts w:hint="eastAsia" w:ascii="Times New Roman" w:hAnsi="Times New Roman" w:eastAsia="黑体"/>
          <w:b/>
          <w:color w:val="auto"/>
          <w:sz w:val="28"/>
          <w:szCs w:val="28"/>
          <w:lang w:eastAsia="zh-CN"/>
        </w:rPr>
        <w:t>（</w:t>
      </w:r>
      <w:r>
        <w:rPr>
          <w:rFonts w:hint="default" w:ascii="Times New Roman" w:hAnsi="Times New Roman" w:eastAsia="黑体"/>
          <w:b/>
          <w:color w:val="auto"/>
          <w:sz w:val="28"/>
          <w:szCs w:val="28"/>
          <w:lang w:eastAsia="zh-CN"/>
        </w:rPr>
        <w:t>Appreciation of Films Adapted from Morden Classic Works</w:t>
      </w:r>
      <w:r>
        <w:rPr>
          <w:rFonts w:hint="eastAsia" w:ascii="Times New Roman" w:hAnsi="Times New Roman" w:eastAsia="黑体"/>
          <w:b/>
          <w:color w:val="auto"/>
          <w:sz w:val="28"/>
          <w:szCs w:val="28"/>
          <w:lang w:eastAsia="zh-CN"/>
        </w:rPr>
        <w:t>）</w:t>
      </w:r>
    </w:p>
    <w:p>
      <w:pPr>
        <w:spacing w:line="600" w:lineRule="exact"/>
        <w:ind w:firstLine="562" w:firstLineChars="200"/>
        <w:rPr>
          <w:rFonts w:hint="default" w:ascii="Times New Roman" w:hAnsi="Times New Roman"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https://mooc1.chaoxing.com/course/29000704.html</w:t>
      </w:r>
    </w:p>
    <w:p>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 w:val="0"/>
          <w:bCs/>
          <w:sz w:val="28"/>
          <w:szCs w:val="28"/>
        </w:rPr>
        <w:t>：</w:t>
      </w:r>
      <w:r>
        <w:rPr>
          <w:rFonts w:hint="eastAsia" w:ascii="Times New Roman" w:hAnsi="Times New Roman" w:eastAsia="仿宋_GB2312"/>
          <w:sz w:val="28"/>
          <w:szCs w:val="28"/>
        </w:rPr>
        <w:t>现代文学中的小说、戏剧等经典作品，由于其语言的工具性特征，常被节选后进入基础教育阶段的语文教材中，00后大学生对之并不陌生；但由于为了应试而断章取义，知其然而不知其所以然的现象也极为严重，因而往往会对作品或作品塑造的时代产生一些“误读”和“偏见”。《现代文学经典阅读与改编电影赏鉴》课程，围绕爱情选择、妇女解放、理想追求、家庭与社会等专题，精选已被改编为电影的现代文学经典作品，通过对比电影改编和原作不同艺术表现形式、艺术效果的异同进行思考、分析等研学活动，来提升学生的阅读兴趣。让学生掌握分析、研读小说、戏剧与电影的方法，在提高阅读、思考、写作能力的同时，感受体悟作品中的时代背景和人物命运选择，析苦思甜，学会用历史分析的方法看待处理现实生活中的各种问题，并体悟中国共产党领导新民主主义革命取得胜利的必要性与必然性，从而树立正确的人生观、价值观。</w:t>
      </w:r>
    </w:p>
    <w:p>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通过在线学习视频与讲义PPT，完成分组任务与作业、参加期末线上考试。如有疑问，可通过QQ群交流研讨。</w:t>
      </w:r>
    </w:p>
    <w:p>
      <w:pPr>
        <w:numPr>
          <w:ilvl w:val="0"/>
          <w:numId w:val="8"/>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美从何处寻——在艺术和生活中体验美</w:t>
      </w:r>
      <w:r>
        <w:rPr>
          <w:rFonts w:hint="eastAsia" w:ascii="Times New Roman" w:hAnsi="Times New Roman" w:eastAsia="黑体"/>
          <w:b/>
          <w:sz w:val="28"/>
          <w:szCs w:val="28"/>
          <w:lang w:eastAsia="zh-CN"/>
        </w:rPr>
        <w:t>（Where does beauty come from? Experience beauty in art and in life.）</w:t>
      </w:r>
    </w:p>
    <w:p>
      <w:pPr>
        <w:spacing w:line="600" w:lineRule="exact"/>
        <w:ind w:firstLine="562" w:firstLineChars="200"/>
        <w:rPr>
          <w:rFonts w:hint="default" w:ascii="Times New Roman" w:hAnsi="Times New Roman"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https://client.vpn.nuist.edu.cn/https/webvpnc0a7ae96a04dedfb531af980111b6392ea0ca9586e870dc13940d6a2cf99f57a/course/236470875.html</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 w:val="0"/>
          <w:bCs/>
          <w:sz w:val="28"/>
          <w:szCs w:val="28"/>
        </w:rPr>
        <w:t>：</w:t>
      </w:r>
      <w:r>
        <w:rPr>
          <w:rFonts w:hint="eastAsia" w:ascii="Times New Roman" w:hAnsi="Times New Roman" w:eastAsia="仿宋_GB2312"/>
          <w:sz w:val="28"/>
          <w:szCs w:val="28"/>
        </w:rPr>
        <w:t>课程着重于在艺术和生活的衣食住行中体验美、感受美，同时兼顾实践能力培养及价值观塑造。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spacing w:line="600" w:lineRule="exact"/>
        <w:ind w:firstLine="560" w:firstLineChars="200"/>
        <w:rPr>
          <w:rFonts w:hint="eastAsia" w:ascii="Times New Roman" w:hAnsi="Times New Roman" w:eastAsia="仿宋_GB2312"/>
          <w:sz w:val="28"/>
          <w:szCs w:val="28"/>
        </w:rPr>
      </w:pPr>
      <w:bookmarkStart w:id="4" w:name="_Hlk145414995"/>
      <w:r>
        <w:rPr>
          <w:rFonts w:hint="eastAsia" w:ascii="Times New Roman" w:hAnsi="Times New Roman" w:eastAsia="仿宋_GB2312"/>
          <w:sz w:val="28"/>
          <w:szCs w:val="28"/>
          <w:lang w:val="en-US" w:eastAsia="zh-CN"/>
        </w:rPr>
        <w:t>课程从艺术美和生活美两个方向展开，由艺术美中的美学、绘画美、雕塑美、</w:t>
      </w:r>
      <w:r>
        <w:rPr>
          <w:rFonts w:hint="default" w:ascii="Times New Roman" w:hAnsi="Times New Roman" w:eastAsia="仿宋_GB2312"/>
          <w:sz w:val="28"/>
          <w:szCs w:val="28"/>
          <w:lang w:eastAsia="zh-CN"/>
        </w:rPr>
        <w:t>瓷器</w:t>
      </w:r>
      <w:r>
        <w:rPr>
          <w:rFonts w:hint="eastAsia" w:ascii="Times New Roman" w:hAnsi="Times New Roman" w:eastAsia="仿宋_GB2312"/>
          <w:sz w:val="28"/>
          <w:szCs w:val="28"/>
          <w:lang w:val="en-US" w:eastAsia="zh-CN"/>
        </w:rPr>
        <w:t>造物美和</w:t>
      </w:r>
      <w:r>
        <w:rPr>
          <w:rFonts w:hint="default" w:ascii="Times New Roman" w:hAnsi="Times New Roman" w:eastAsia="仿宋_GB2312"/>
          <w:sz w:val="28"/>
          <w:szCs w:val="28"/>
          <w:lang w:eastAsia="zh-CN"/>
        </w:rPr>
        <w:t>电影</w:t>
      </w:r>
      <w:r>
        <w:rPr>
          <w:rFonts w:hint="eastAsia" w:ascii="Times New Roman" w:hAnsi="Times New Roman" w:eastAsia="仿宋_GB2312"/>
          <w:sz w:val="28"/>
          <w:szCs w:val="28"/>
          <w:lang w:val="en-US" w:eastAsia="zh-CN"/>
        </w:rPr>
        <w:t>创意美、以及</w:t>
      </w:r>
      <w:bookmarkEnd w:id="4"/>
      <w:r>
        <w:rPr>
          <w:rFonts w:hint="eastAsia" w:ascii="Times New Roman" w:hAnsi="Times New Roman" w:eastAsia="仿宋_GB2312"/>
          <w:sz w:val="28"/>
          <w:szCs w:val="28"/>
        </w:rPr>
        <w:t>生活</w:t>
      </w:r>
      <w:r>
        <w:rPr>
          <w:rFonts w:hint="default" w:ascii="Times New Roman" w:hAnsi="Times New Roman" w:eastAsia="仿宋_GB2312"/>
          <w:sz w:val="28"/>
          <w:szCs w:val="28"/>
        </w:rPr>
        <w:t>中</w:t>
      </w:r>
      <w:r>
        <w:rPr>
          <w:rFonts w:hint="eastAsia" w:ascii="Times New Roman" w:hAnsi="Times New Roman" w:eastAsia="仿宋_GB2312"/>
          <w:sz w:val="28"/>
          <w:szCs w:val="28"/>
        </w:rPr>
        <w:t>的服饰美、建筑美</w:t>
      </w:r>
      <w:r>
        <w:rPr>
          <w:rFonts w:hint="default" w:ascii="Times New Roman" w:hAnsi="Times New Roman" w:eastAsia="仿宋_GB2312"/>
          <w:sz w:val="28"/>
          <w:szCs w:val="28"/>
        </w:rPr>
        <w:t>、餐饮礼仪的美来</w:t>
      </w:r>
      <w:r>
        <w:rPr>
          <w:rFonts w:hint="eastAsia" w:ascii="Times New Roman" w:hAnsi="Times New Roman" w:eastAsia="仿宋_GB2312"/>
          <w:sz w:val="28"/>
          <w:szCs w:val="28"/>
        </w:rPr>
        <w:t>感受和接近美，引导学生领略人文科学的无限风光，通过课堂学习、案例讲授等活动，加深学生对生活中“向美而生”的追求，并开阔学生的视野，培养学生追求真善美的人文素质，引导学生树立正确的人生观和价值观。</w:t>
      </w:r>
    </w:p>
    <w:p>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通过在线视频学习与讲义PPT的学习，完成章节测验和期末课程作业，构成课程学习成绩。学习过程中的困惑和问题通过课程QQ群进行交流、研讨和答疑。</w:t>
      </w:r>
    </w:p>
    <w:p>
      <w:pPr>
        <w:adjustRightInd w:val="0"/>
        <w:snapToGrid w:val="0"/>
        <w:spacing w:line="600" w:lineRule="exact"/>
        <w:ind w:firstLine="560" w:firstLineChars="200"/>
        <w:jc w:val="left"/>
        <w:rPr>
          <w:rFonts w:hint="eastAsia" w:ascii="Times New Roman" w:hAnsi="Times New Roman" w:eastAsia="仿宋_GB2312"/>
          <w:color w:val="000000"/>
          <w:sz w:val="28"/>
          <w:szCs w:val="28"/>
        </w:rPr>
      </w:pP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南京邮电大学</w:t>
      </w:r>
    </w:p>
    <w:p>
      <w:pPr>
        <w:numPr>
          <w:ilvl w:val="0"/>
          <w:numId w:val="9"/>
        </w:numPr>
        <w:spacing w:line="600" w:lineRule="exact"/>
        <w:rPr>
          <w:rFonts w:ascii="Times New Roman" w:hAnsi="Times New Roman" w:eastAsia="黑体"/>
          <w:b/>
          <w:sz w:val="28"/>
          <w:szCs w:val="28"/>
        </w:rPr>
      </w:pPr>
      <w:r>
        <w:rPr>
          <w:rFonts w:hint="eastAsia" w:ascii="Times New Roman" w:hAnsi="Times New Roman" w:eastAsia="黑体"/>
          <w:b/>
          <w:sz w:val="28"/>
          <w:szCs w:val="28"/>
        </w:rPr>
        <w:t>市场调查与研究</w:t>
      </w:r>
      <w:r>
        <w:rPr>
          <w:rFonts w:hint="eastAsia" w:ascii="Times New Roman" w:hAnsi="Times New Roman" w:eastAsia="黑体"/>
          <w:b/>
          <w:sz w:val="28"/>
          <w:szCs w:val="28"/>
          <w:lang w:eastAsia="zh-CN"/>
        </w:rPr>
        <w:t>（</w:t>
      </w:r>
      <w:r>
        <w:rPr>
          <w:rFonts w:hint="default" w:ascii="Times New Roman" w:hAnsi="Times New Roman" w:eastAsia="黑体"/>
          <w:b/>
          <w:sz w:val="28"/>
          <w:szCs w:val="28"/>
          <w:lang w:eastAsia="zh-CN"/>
        </w:rPr>
        <w:t>Marketing Research</w:t>
      </w:r>
      <w:r>
        <w:rPr>
          <w:rFonts w:hint="eastAsia" w:ascii="Times New Roman" w:hAnsi="Times New Roman" w:eastAsia="黑体"/>
          <w:b/>
          <w:sz w:val="28"/>
          <w:szCs w:val="28"/>
          <w:lang w:eastAsia="zh-CN"/>
        </w:rPr>
        <w:t>）</w:t>
      </w:r>
    </w:p>
    <w:p>
      <w:pPr>
        <w:adjustRightInd w:val="0"/>
        <w:snapToGrid w:val="0"/>
        <w:spacing w:line="600" w:lineRule="exact"/>
        <w:ind w:firstLine="562" w:firstLineChars="200"/>
        <w:jc w:val="left"/>
        <w:rPr>
          <w:rFonts w:ascii="Times New Roman" w:hAnsi="Times New Roman" w:eastAsia="仿宋_GB2312"/>
          <w:b/>
          <w:bCs/>
          <w:color w:val="000000"/>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p>
    <w:p>
      <w:pPr>
        <w:adjustRightInd w:val="0"/>
        <w:snapToGrid w:val="0"/>
        <w:spacing w:line="600" w:lineRule="exact"/>
        <w:ind w:firstLine="562" w:firstLineChars="200"/>
        <w:jc w:val="left"/>
        <w:rPr>
          <w:rFonts w:hint="eastAsia" w:ascii="仿宋_GB2312" w:hAnsi="Times New Roman" w:eastAsia="仿宋_GB2312"/>
          <w:sz w:val="28"/>
          <w:szCs w:val="28"/>
        </w:rPr>
      </w:pPr>
      <w:r>
        <w:rPr>
          <w:rFonts w:ascii="Times New Roman" w:hAnsi="Times New Roman" w:eastAsia="仿宋_GB2312"/>
          <w:b/>
          <w:bCs/>
          <w:color w:val="000000"/>
          <w:sz w:val="28"/>
          <w:szCs w:val="28"/>
        </w:rPr>
        <w:t>课程简介</w:t>
      </w:r>
      <w:r>
        <w:rPr>
          <w:rFonts w:ascii="Times New Roman" w:hAnsi="Times New Roman" w:eastAsia="仿宋_GB2312"/>
          <w:b w:val="0"/>
          <w:bCs w:val="0"/>
          <w:color w:val="000000"/>
          <w:sz w:val="28"/>
          <w:szCs w:val="28"/>
        </w:rPr>
        <w:t>：</w:t>
      </w:r>
      <w:r>
        <w:rPr>
          <w:rFonts w:ascii="Times New Roman" w:hAnsi="Times New Roman" w:eastAsia="仿宋_GB2312"/>
          <w:color w:val="000000"/>
          <w:sz w:val="28"/>
          <w:szCs w:val="28"/>
        </w:rPr>
        <w:t>《</w:t>
      </w:r>
      <w:r>
        <w:rPr>
          <w:rFonts w:hint="eastAsia" w:ascii="仿宋_GB2312" w:hAnsi="Times New Roman" w:eastAsia="仿宋_GB2312"/>
          <w:sz w:val="28"/>
          <w:szCs w:val="28"/>
        </w:rPr>
        <w:t>市场调查与研究》是市场调研的入门课程，已经在中国大学MOOC开课</w:t>
      </w:r>
      <w:r>
        <w:rPr>
          <w:rFonts w:hint="default" w:ascii="仿宋_GB2312" w:hAnsi="Times New Roman" w:eastAsia="仿宋_GB2312"/>
          <w:sz w:val="28"/>
          <w:szCs w:val="28"/>
        </w:rPr>
        <w:t>12</w:t>
      </w:r>
      <w:r>
        <w:rPr>
          <w:rFonts w:hint="eastAsia" w:ascii="仿宋_GB2312" w:hAnsi="Times New Roman" w:eastAsia="仿宋_GB2312"/>
          <w:sz w:val="28"/>
          <w:szCs w:val="28"/>
        </w:rPr>
        <w:t>期，累计学员</w:t>
      </w:r>
      <w:r>
        <w:rPr>
          <w:rFonts w:hint="default" w:ascii="仿宋_GB2312" w:hAnsi="Times New Roman" w:eastAsia="仿宋_GB2312"/>
          <w:sz w:val="28"/>
          <w:szCs w:val="28"/>
        </w:rPr>
        <w:t>超过七</w:t>
      </w:r>
      <w:r>
        <w:rPr>
          <w:rFonts w:hint="eastAsia" w:ascii="仿宋_GB2312" w:hAnsi="Times New Roman" w:eastAsia="仿宋_GB2312"/>
          <w:sz w:val="28"/>
          <w:szCs w:val="28"/>
        </w:rPr>
        <w:t>万人，获评2021年江苏省一流本科课程</w:t>
      </w:r>
      <w:r>
        <w:rPr>
          <w:rFonts w:hint="default" w:ascii="仿宋_GB2312" w:hAnsi="Times New Roman" w:eastAsia="仿宋_GB2312"/>
          <w:sz w:val="28"/>
          <w:szCs w:val="28"/>
        </w:rPr>
        <w:t>，第三届全国高校混合式教学创新设计大赛一等奖，第二届江苏省高校教师教学创新大赛一等奖</w:t>
      </w:r>
      <w:r>
        <w:rPr>
          <w:rFonts w:hint="eastAsia" w:ascii="仿宋_GB2312" w:hAnsi="Times New Roman" w:eastAsia="仿宋_GB2312"/>
          <w:sz w:val="28"/>
          <w:szCs w:val="28"/>
        </w:rPr>
        <w:t>。课程由全国大学生市场调查与分析大赛的金牌指导教师团队根据多年的课程教学、竞赛指导和调研实战经验进行设计和讲授，致力于帮助学员发现市场机会，应对决策难题，完成调研问题的转化、调查方案设计、调研实施、数据处理分析和报告撰写汇报的完整流程，实现对市场调查与研究知识和方法的融会贯通，提升市场调查与研究的实践能力。</w:t>
      </w:r>
    </w:p>
    <w:p>
      <w:pPr>
        <w:adjustRightInd w:val="0"/>
        <w:snapToGrid w:val="0"/>
        <w:spacing w:line="600" w:lineRule="exact"/>
        <w:ind w:firstLine="562" w:firstLineChars="200"/>
        <w:jc w:val="left"/>
        <w:rPr>
          <w:rFonts w:hint="default" w:ascii="仿宋_GB2312" w:hAnsi="Times New Roman" w:eastAsia="仿宋_GB2312"/>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具备一定的统计学和市场营销相关知识会更有利于课程学习。</w:t>
      </w: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中国矿业大学</w:t>
      </w:r>
    </w:p>
    <w:p>
      <w:pPr>
        <w:numPr>
          <w:ilvl w:val="0"/>
          <w:numId w:val="10"/>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谈天说“地”——解析地球科学</w:t>
      </w:r>
      <w:r>
        <w:rPr>
          <w:rFonts w:hint="eastAsia" w:ascii="Times New Roman" w:hAnsi="Times New Roman" w:eastAsia="黑体"/>
          <w:b/>
          <w:sz w:val="28"/>
          <w:szCs w:val="28"/>
          <w:lang w:eastAsia="zh-CN"/>
        </w:rPr>
        <w:t>（Introduction to Geoscience）</w:t>
      </w:r>
    </w:p>
    <w:p>
      <w:pPr>
        <w:snapToGrid w:val="0"/>
        <w:spacing w:line="600" w:lineRule="exact"/>
        <w:ind w:firstLine="562" w:firstLineChars="200"/>
        <w:jc w:val="left"/>
        <w:rPr>
          <w:rFonts w:ascii="Times New Roman" w:hAnsi="Times New Roman" w:eastAsia="Times New Roman"/>
          <w:color w:val="000000"/>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eastAsia" w:ascii="Times New Roman" w:hAnsi="Times New Roman" w:eastAsia="Times New Roman"/>
          <w:color w:val="000000"/>
          <w:sz w:val="28"/>
          <w:szCs w:val="28"/>
        </w:rPr>
        <w:t>https://www.icourse163.org/course/CUMT-1207191805</w:t>
      </w:r>
    </w:p>
    <w:p>
      <w:pPr>
        <w:snapToGrid w:val="0"/>
        <w:spacing w:line="600" w:lineRule="exact"/>
        <w:ind w:firstLine="562" w:firstLineChars="200"/>
        <w:jc w:val="left"/>
        <w:rPr>
          <w:rFonts w:hint="eastAsia" w:ascii="Times New Roman" w:hAnsi="Times New Roman" w:eastAsia="仿宋_GB2312"/>
          <w:sz w:val="28"/>
          <w:szCs w:val="28"/>
        </w:rPr>
      </w:pPr>
      <w:r>
        <w:rPr>
          <w:rFonts w:ascii="仿宋_GB2312" w:hAnsi="仿宋_GB2312" w:eastAsia="仿宋_GB2312"/>
          <w:b/>
          <w:bCs/>
          <w:color w:val="000000"/>
          <w:sz w:val="28"/>
          <w:szCs w:val="28"/>
        </w:rPr>
        <w:t>课程简介</w:t>
      </w:r>
      <w:r>
        <w:rPr>
          <w:rFonts w:ascii="仿宋_GB2312" w:hAnsi="仿宋_GB2312" w:eastAsia="仿宋_GB2312"/>
          <w:b w:val="0"/>
          <w:bCs w:val="0"/>
          <w:color w:val="000000"/>
          <w:sz w:val="28"/>
          <w:szCs w:val="28"/>
        </w:rPr>
        <w:t>：</w:t>
      </w:r>
      <w:r>
        <w:rPr>
          <w:rFonts w:hint="eastAsia" w:ascii="Times New Roman" w:hAnsi="Times New Roman" w:eastAsia="仿宋_GB2312"/>
          <w:sz w:val="28"/>
          <w:szCs w:val="28"/>
        </w:rPr>
        <w:t>本课程《谈天说“地”——解析地球科学》是以地球及相关联的圈层为研究对象，从整体、联系而系统的观点出发，研究其时空、物质、结构、作用、影响、演化等方面所呈现的一般规律的学科，兼具专业性和通识性的特点，面向本科生及社会学习者开设。通过学习，使学生掌握地球科学的基本原理，了解地学思维特点，树立系统的地球科学观。其分目标有：理解“一带一路”倡议的地学内涵及其与地学文化之间的关联，树立坚实的成才观；了解地球的宏观天文环境及其对人类文化现象的影响，了解并掌握地球的物质组成、圈层结构、地质作用、地质运动和地质演化相关特点和规律，树立系统的地学知识观和地学文化观；了解地球变化的特征及影响因素，树立正确的资源观、“人—地”观和科学发展观。</w:t>
      </w:r>
    </w:p>
    <w:p>
      <w:pPr>
        <w:snapToGrid w:val="0"/>
        <w:spacing w:line="600" w:lineRule="exact"/>
        <w:ind w:firstLine="562" w:firstLineChars="200"/>
        <w:jc w:val="left"/>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eastAsia" w:ascii="Times New Roman" w:hAnsi="Times New Roman" w:eastAsia="仿宋_GB2312"/>
          <w:sz w:val="28"/>
          <w:szCs w:val="28"/>
          <w:lang w:val="en-US" w:eastAsia="zh-CN"/>
        </w:rPr>
        <w:t>本课程主要采取在线教学形式，选修同学可在电脑端或手机端完成学习。学习内容包括观看视频、单元测验、主题研讨（互动3次以上）、在线考试</w:t>
      </w:r>
      <w:r>
        <w:rPr>
          <w:rFonts w:hint="default" w:ascii="Times New Roman" w:hAnsi="Times New Roman" w:eastAsia="仿宋_GB2312"/>
          <w:sz w:val="28"/>
          <w:szCs w:val="28"/>
          <w:lang w:eastAsia="zh-CN"/>
        </w:rPr>
        <w:t>等</w:t>
      </w:r>
      <w:r>
        <w:rPr>
          <w:rFonts w:hint="eastAsia" w:ascii="Times New Roman" w:hAnsi="Times New Roman" w:eastAsia="仿宋_GB2312"/>
          <w:sz w:val="28"/>
          <w:szCs w:val="28"/>
          <w:lang w:val="en-US" w:eastAsia="zh-CN"/>
        </w:rPr>
        <w:t>。本课程的</w:t>
      </w:r>
      <w:r>
        <w:rPr>
          <w:rFonts w:hint="default" w:ascii="Times New Roman" w:hAnsi="Times New Roman" w:eastAsia="仿宋_GB2312"/>
          <w:sz w:val="28"/>
          <w:szCs w:val="28"/>
          <w:lang w:val="en-US" w:eastAsia="zh-CN"/>
        </w:rPr>
        <w:t>QQ</w:t>
      </w:r>
      <w:r>
        <w:rPr>
          <w:rFonts w:hint="eastAsia" w:ascii="Times New Roman" w:hAnsi="Times New Roman" w:eastAsia="仿宋_GB2312"/>
          <w:sz w:val="28"/>
          <w:szCs w:val="28"/>
          <w:lang w:val="en-US" w:eastAsia="zh-CN"/>
        </w:rPr>
        <w:t>群号为</w:t>
      </w:r>
      <w:r>
        <w:rPr>
          <w:rFonts w:hint="default" w:ascii="Times New Roman" w:hAnsi="Times New Roman" w:eastAsia="仿宋_GB2312"/>
          <w:sz w:val="28"/>
          <w:szCs w:val="28"/>
          <w:lang w:val="en-US" w:eastAsia="zh-CN"/>
        </w:rPr>
        <w:t>1025433804</w:t>
      </w:r>
      <w:r>
        <w:rPr>
          <w:rFonts w:hint="eastAsia" w:ascii="Times New Roman" w:hAnsi="Times New Roman" w:eastAsia="仿宋_GB2312"/>
          <w:sz w:val="28"/>
          <w:szCs w:val="28"/>
          <w:lang w:val="en-US" w:eastAsia="zh-CN"/>
        </w:rPr>
        <w:t>，同学们</w:t>
      </w:r>
      <w:r>
        <w:rPr>
          <w:rFonts w:hint="default" w:ascii="Times New Roman" w:hAnsi="Times New Roman" w:eastAsia="仿宋_GB2312"/>
          <w:sz w:val="28"/>
          <w:szCs w:val="28"/>
          <w:lang w:eastAsia="zh-CN"/>
        </w:rPr>
        <w:t>务必</w:t>
      </w:r>
      <w:r>
        <w:rPr>
          <w:rFonts w:hint="eastAsia" w:ascii="Times New Roman" w:hAnsi="Times New Roman" w:eastAsia="仿宋_GB2312"/>
          <w:sz w:val="28"/>
          <w:szCs w:val="28"/>
          <w:lang w:val="en-US" w:eastAsia="zh-CN"/>
        </w:rPr>
        <w:t>及时</w:t>
      </w:r>
      <w:r>
        <w:rPr>
          <w:rFonts w:hint="default" w:ascii="Times New Roman" w:hAnsi="Times New Roman" w:eastAsia="仿宋_GB2312"/>
          <w:sz w:val="28"/>
          <w:szCs w:val="28"/>
          <w:lang w:eastAsia="zh-CN"/>
        </w:rPr>
        <w:t>入群，</w:t>
      </w:r>
      <w:r>
        <w:rPr>
          <w:rFonts w:hint="eastAsia" w:ascii="Times New Roman" w:hAnsi="Times New Roman" w:eastAsia="仿宋_GB2312"/>
          <w:sz w:val="28"/>
          <w:szCs w:val="28"/>
          <w:lang w:val="en-US" w:eastAsia="zh-CN"/>
        </w:rPr>
        <w:t>关注课程相关通知。</w:t>
      </w:r>
    </w:p>
    <w:p>
      <w:pPr>
        <w:snapToGrid w:val="0"/>
        <w:spacing w:line="600" w:lineRule="exact"/>
        <w:ind w:firstLine="560" w:firstLineChars="200"/>
        <w:jc w:val="left"/>
        <w:rPr>
          <w:rFonts w:hint="eastAsia" w:ascii="Times New Roman" w:hAnsi="Times New Roman" w:eastAsia="仿宋_GB2312"/>
          <w:sz w:val="28"/>
          <w:szCs w:val="28"/>
          <w:lang w:val="en-US" w:eastAsia="zh-CN"/>
        </w:rPr>
      </w:pPr>
    </w:p>
    <w:p>
      <w:pPr>
        <w:numPr>
          <w:ilvl w:val="0"/>
          <w:numId w:val="4"/>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南京理工大学</w:t>
      </w:r>
    </w:p>
    <w:p>
      <w:pPr>
        <w:numPr>
          <w:ilvl w:val="0"/>
          <w:numId w:val="11"/>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高分子：产品设计新灵感</w:t>
      </w:r>
      <w:r>
        <w:rPr>
          <w:rFonts w:hint="eastAsia" w:ascii="Times New Roman" w:hAnsi="Times New Roman" w:eastAsia="黑体"/>
          <w:b/>
          <w:sz w:val="28"/>
          <w:szCs w:val="28"/>
          <w:lang w:eastAsia="zh-CN"/>
        </w:rPr>
        <w:t>（Polymer: Product design inspiration）</w:t>
      </w:r>
    </w:p>
    <w:p>
      <w:pPr>
        <w:adjustRightInd w:val="0"/>
        <w:snapToGrid w:val="0"/>
        <w:spacing w:line="600" w:lineRule="exact"/>
        <w:ind w:firstLine="562" w:firstLineChars="200"/>
        <w:jc w:val="left"/>
        <w:rPr>
          <w:rFonts w:hint="default" w:ascii="Times New Roman" w:hAnsi="Times New Roman" w:eastAsia="仿宋_GB2312"/>
          <w:b/>
          <w:sz w:val="24"/>
          <w:szCs w:val="24"/>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4"/>
          <w:szCs w:val="24"/>
          <w:lang w:eastAsia="zh-CN"/>
        </w:rPr>
        <w:fldChar w:fldCharType="begin"/>
      </w:r>
      <w:r>
        <w:rPr>
          <w:rFonts w:hint="default" w:ascii="Times New Roman" w:hAnsi="Times New Roman" w:eastAsia="仿宋_GB2312"/>
          <w:b w:val="0"/>
          <w:bCs w:val="0"/>
          <w:sz w:val="24"/>
          <w:szCs w:val="24"/>
          <w:lang w:eastAsia="zh-CN"/>
        </w:rPr>
        <w:instrText xml:space="preserve"> HYPERLINK "https://mooc1.chaoxing.com/mooc-ans/course/236599291.html" </w:instrText>
      </w:r>
      <w:r>
        <w:rPr>
          <w:rFonts w:hint="default" w:ascii="Times New Roman" w:hAnsi="Times New Roman" w:eastAsia="仿宋_GB2312"/>
          <w:b w:val="0"/>
          <w:bCs w:val="0"/>
          <w:sz w:val="24"/>
          <w:szCs w:val="24"/>
          <w:lang w:eastAsia="zh-CN"/>
        </w:rPr>
        <w:fldChar w:fldCharType="separate"/>
      </w:r>
      <w:r>
        <w:rPr>
          <w:rStyle w:val="10"/>
          <w:rFonts w:hint="default" w:ascii="Times New Roman" w:hAnsi="Times New Roman" w:eastAsia="仿宋_GB2312"/>
          <w:b w:val="0"/>
          <w:bCs w:val="0"/>
          <w:sz w:val="24"/>
          <w:szCs w:val="24"/>
          <w:lang w:eastAsia="zh-CN"/>
        </w:rPr>
        <w:t>https://mooc1.chaoxing.com/mooc-ans/course/236599291.html</w:t>
      </w:r>
      <w:r>
        <w:rPr>
          <w:rFonts w:hint="default" w:ascii="Times New Roman" w:hAnsi="Times New Roman" w:eastAsia="仿宋_GB2312"/>
          <w:b w:val="0"/>
          <w:bCs w:val="0"/>
          <w:sz w:val="24"/>
          <w:szCs w:val="24"/>
          <w:lang w:eastAsia="zh-CN"/>
        </w:rPr>
        <w:fldChar w:fldCharType="end"/>
      </w:r>
      <w:r>
        <w:rPr>
          <w:rFonts w:hint="default" w:ascii="Times New Roman" w:hAnsi="Times New Roman" w:eastAsia="仿宋_GB2312"/>
          <w:b w:val="0"/>
          <w:bCs w:val="0"/>
          <w:sz w:val="24"/>
          <w:szCs w:val="24"/>
          <w:lang w:eastAsia="zh-CN"/>
        </w:rPr>
        <w:t xml:space="preserve"> </w:t>
      </w:r>
    </w:p>
    <w:p>
      <w:pPr>
        <w:keepNext w:val="0"/>
        <w:keepLines w:val="0"/>
        <w:widowControl w:val="0"/>
        <w:suppressLineNumbers w:val="0"/>
        <w:wordWrap w:val="0"/>
        <w:adjustRightInd w:val="0"/>
        <w:snapToGrid w:val="0"/>
        <w:spacing w:before="0" w:beforeAutospacing="0" w:after="0" w:afterAutospacing="0" w:line="600" w:lineRule="exact"/>
        <w:ind w:left="0" w:right="0" w:firstLine="562" w:firstLineChars="200"/>
        <w:jc w:val="left"/>
        <w:rPr>
          <w:rFonts w:hint="default" w:ascii="Times New Roman" w:hAnsi="Times New Roman" w:eastAsia="仿宋_GB2312" w:cs="Times New Roman"/>
          <w:bCs/>
          <w:sz w:val="28"/>
          <w:szCs w:val="28"/>
          <w:lang w:val="en-US"/>
        </w:rPr>
      </w:pPr>
      <w:r>
        <w:rPr>
          <w:rFonts w:ascii="Times New Roman" w:hAnsi="Times New Roman" w:eastAsia="仿宋_GB2312"/>
          <w:b/>
          <w:sz w:val="28"/>
          <w:szCs w:val="28"/>
        </w:rPr>
        <w:t>课程简介</w:t>
      </w:r>
      <w:r>
        <w:rPr>
          <w:rFonts w:ascii="Times New Roman" w:hAnsi="Times New Roman" w:eastAsia="仿宋_GB2312"/>
          <w:b w:val="0"/>
          <w:bCs/>
          <w:sz w:val="28"/>
          <w:szCs w:val="28"/>
        </w:rPr>
        <w:t>：</w:t>
      </w:r>
      <w:r>
        <w:rPr>
          <w:rFonts w:hint="eastAsia" w:ascii="Times New Roman" w:hAnsi="Times New Roman" w:eastAsia="仿宋_GB2312" w:cs="仿宋_GB2312"/>
          <w:bCs/>
          <w:kern w:val="2"/>
          <w:sz w:val="28"/>
          <w:szCs w:val="28"/>
          <w:lang w:val="en-US" w:eastAsia="zh-CN" w:bidi="ar"/>
        </w:rPr>
        <w:t>材料是物质、设计是意念、制造是途径、应用是目的，在产品中融入新材料，才能突破平庸、实现创造性的设计。高分子材料是当今发展最为迅速的材料，其品种早已超越了人们在生活中认识</w:t>
      </w:r>
      <w:r>
        <w:rPr>
          <w:rFonts w:hint="default" w:ascii="Times New Roman" w:hAnsi="Times New Roman" w:eastAsia="仿宋_GB2312" w:cs="仿宋_GB2312"/>
          <w:bCs/>
          <w:kern w:val="2"/>
          <w:sz w:val="28"/>
          <w:szCs w:val="28"/>
          <w:lang w:eastAsia="zh-CN" w:bidi="ar"/>
        </w:rPr>
        <w:t>的</w:t>
      </w:r>
      <w:r>
        <w:rPr>
          <w:rFonts w:hint="eastAsia" w:ascii="Times New Roman" w:hAnsi="Times New Roman" w:eastAsia="仿宋_GB2312" w:cs="仿宋_GB2312"/>
          <w:bCs/>
          <w:kern w:val="2"/>
          <w:sz w:val="28"/>
          <w:szCs w:val="28"/>
          <w:lang w:val="en-US" w:eastAsia="zh-CN" w:bidi="ar"/>
        </w:rPr>
        <w:t>衣食住行</w:t>
      </w:r>
      <w:r>
        <w:rPr>
          <w:rFonts w:hint="default" w:ascii="Times New Roman" w:hAnsi="Times New Roman" w:eastAsia="仿宋_GB2312" w:cs="仿宋_GB2312"/>
          <w:bCs/>
          <w:kern w:val="2"/>
          <w:sz w:val="28"/>
          <w:szCs w:val="28"/>
          <w:lang w:eastAsia="zh-CN" w:bidi="ar"/>
        </w:rPr>
        <w:t>传统</w:t>
      </w:r>
      <w:r>
        <w:rPr>
          <w:rFonts w:hint="eastAsia" w:ascii="Times New Roman" w:hAnsi="Times New Roman" w:eastAsia="仿宋_GB2312" w:cs="仿宋_GB2312"/>
          <w:bCs/>
          <w:kern w:val="2"/>
          <w:sz w:val="28"/>
          <w:szCs w:val="28"/>
          <w:lang w:val="en-US" w:eastAsia="zh-CN" w:bidi="ar"/>
        </w:rPr>
        <w:t>材料，正向着更强、更薄、成本更低、并且性能可调控方向发展。</w:t>
      </w:r>
    </w:p>
    <w:p>
      <w:pPr>
        <w:keepNext w:val="0"/>
        <w:keepLines w:val="0"/>
        <w:widowControl/>
        <w:suppressLineNumbers w:val="0"/>
        <w:ind w:firstLine="560" w:firstLineChars="200"/>
        <w:jc w:val="left"/>
        <w:rPr>
          <w:rFonts w:hint="eastAsia" w:ascii="Times New Roman" w:hAnsi="Times New Roman" w:eastAsia="仿宋_GB2312" w:cs="Times New Roman"/>
          <w:bCs/>
          <w:kern w:val="2"/>
          <w:sz w:val="28"/>
          <w:szCs w:val="28"/>
          <w:lang w:val="en-US" w:eastAsia="zh-CN" w:bidi="ar"/>
        </w:rPr>
      </w:pPr>
      <w:r>
        <w:rPr>
          <w:rFonts w:hint="eastAsia" w:ascii="Times New Roman" w:hAnsi="Times New Roman" w:eastAsia="仿宋_GB2312" w:cs="Times New Roman"/>
          <w:bCs/>
          <w:kern w:val="2"/>
          <w:sz w:val="28"/>
          <w:szCs w:val="28"/>
          <w:lang w:val="en-US" w:eastAsia="zh-CN" w:bidi="ar"/>
        </w:rPr>
        <w:t>一群高分子材料学和产品设计学的专家在这儿跨专业合作，致力于科学与艺术、技术与人文、审美与实用交叉融合的同时，努力让课程更有趣更实用更有创意，为你消除知识的盲区，在材料行业和产品之间架起良好的沟通桥梁，培养出一批能够跨界出圈的“新工科”领军人才。</w:t>
      </w:r>
    </w:p>
    <w:p>
      <w:pPr>
        <w:keepNext w:val="0"/>
        <w:keepLines w:val="0"/>
        <w:widowControl/>
        <w:suppressLineNumbers w:val="0"/>
        <w:ind w:firstLine="560" w:firstLineChars="200"/>
        <w:jc w:val="left"/>
        <w:rPr>
          <w:rFonts w:hint="eastAsia" w:ascii="Times New Roman" w:hAnsi="Times New Roman" w:eastAsia="仿宋_GB2312"/>
          <w:bCs/>
          <w:sz w:val="28"/>
          <w:szCs w:val="28"/>
        </w:rPr>
      </w:pPr>
      <w:r>
        <w:rPr>
          <w:rFonts w:hint="eastAsia" w:ascii="Times New Roman" w:hAnsi="Times New Roman" w:eastAsia="仿宋_GB2312" w:cs="Times New Roman"/>
          <w:bCs/>
          <w:kern w:val="2"/>
          <w:sz w:val="28"/>
          <w:szCs w:val="28"/>
          <w:lang w:val="en-US" w:eastAsia="zh-CN" w:bidi="ar"/>
        </w:rPr>
        <w:t>本课程获评首批国家级线上线下混合式一流本科课程</w:t>
      </w:r>
      <w:r>
        <w:rPr>
          <w:rFonts w:hint="default" w:ascii="Times New Roman" w:hAnsi="Times New Roman" w:eastAsia="仿宋_GB2312" w:cs="Times New Roman"/>
          <w:bCs/>
          <w:kern w:val="2"/>
          <w:sz w:val="28"/>
          <w:szCs w:val="28"/>
          <w:lang w:eastAsia="zh-CN" w:bidi="ar"/>
        </w:rPr>
        <w:t>、</w:t>
      </w:r>
      <w:r>
        <w:rPr>
          <w:rFonts w:hint="eastAsia" w:ascii="Times New Roman" w:hAnsi="Times New Roman" w:eastAsia="仿宋_GB2312" w:cs="Times New Roman"/>
          <w:bCs/>
          <w:kern w:val="2"/>
          <w:sz w:val="28"/>
          <w:szCs w:val="28"/>
          <w:lang w:val="en-US" w:eastAsia="zh-CN" w:bidi="ar"/>
        </w:rPr>
        <w:t>国家级通识教育优秀课程，</w:t>
      </w:r>
      <w:r>
        <w:rPr>
          <w:rFonts w:hint="default" w:ascii="Times New Roman" w:hAnsi="Times New Roman" w:eastAsia="仿宋_GB2312" w:cs="Times New Roman"/>
          <w:bCs/>
          <w:kern w:val="2"/>
          <w:sz w:val="28"/>
          <w:szCs w:val="28"/>
          <w:lang w:eastAsia="zh-CN" w:bidi="ar"/>
        </w:rPr>
        <w:t>数字</w:t>
      </w:r>
      <w:r>
        <w:rPr>
          <w:rFonts w:hint="eastAsia" w:ascii="Times New Roman" w:hAnsi="Times New Roman" w:eastAsia="仿宋_GB2312" w:cs="Times New Roman"/>
          <w:bCs/>
          <w:kern w:val="2"/>
          <w:sz w:val="28"/>
          <w:szCs w:val="28"/>
          <w:lang w:val="en-US" w:eastAsia="zh-CN" w:bidi="ar"/>
        </w:rPr>
        <w:t>资源已上线中国大学</w:t>
      </w:r>
      <w:r>
        <w:rPr>
          <w:rFonts w:hint="default" w:ascii="Times New Roman" w:hAnsi="Times New Roman" w:eastAsia="仿宋_GB2312" w:cs="Times New Roman"/>
          <w:bCs/>
          <w:kern w:val="2"/>
          <w:sz w:val="28"/>
          <w:szCs w:val="28"/>
          <w:lang w:val="en-US" w:eastAsia="zh-CN" w:bidi="ar"/>
        </w:rPr>
        <w:t>MOOC</w:t>
      </w:r>
      <w:r>
        <w:rPr>
          <w:rFonts w:hint="eastAsia" w:ascii="Times New Roman" w:hAnsi="Times New Roman" w:eastAsia="仿宋_GB2312" w:cs="Times New Roman"/>
          <w:bCs/>
          <w:kern w:val="2"/>
          <w:sz w:val="28"/>
          <w:szCs w:val="28"/>
          <w:lang w:val="en-US" w:eastAsia="zh-CN" w:bidi="ar"/>
        </w:rPr>
        <w:t>平台和“学习强国”平台。</w:t>
      </w:r>
    </w:p>
    <w:p>
      <w:pPr>
        <w:adjustRightInd w:val="0"/>
        <w:snapToGrid w:val="0"/>
        <w:spacing w:line="600" w:lineRule="exact"/>
        <w:ind w:firstLine="562" w:firstLineChars="200"/>
        <w:jc w:val="left"/>
        <w:rPr>
          <w:rFonts w:hint="default" w:ascii="Times New Roman" w:hAnsi="Times New Roman" w:eastAsia="仿宋_GB2312"/>
          <w:bCs/>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超星学习通SPOC个性化定制，完成视频学习和单元测验，积极参加在线讨论。</w:t>
      </w:r>
    </w:p>
    <w:p>
      <w:pPr>
        <w:pStyle w:val="15"/>
        <w:numPr>
          <w:ilvl w:val="0"/>
          <w:numId w:val="4"/>
        </w:numPr>
        <w:adjustRightInd w:val="0"/>
        <w:snapToGrid w:val="0"/>
        <w:spacing w:line="600" w:lineRule="exact"/>
        <w:ind w:left="0" w:firstLine="0" w:firstLineChars="0"/>
        <w:rPr>
          <w:rFonts w:ascii="黑体" w:hAnsi="黑体" w:eastAsia="黑体"/>
          <w:b/>
          <w:bCs/>
          <w:sz w:val="28"/>
          <w:szCs w:val="28"/>
        </w:rPr>
      </w:pPr>
      <w:r>
        <w:rPr>
          <w:rFonts w:hint="eastAsia" w:ascii="黑体" w:hAnsi="黑体" w:eastAsia="黑体"/>
          <w:b/>
          <w:bCs/>
          <w:sz w:val="28"/>
          <w:szCs w:val="28"/>
        </w:rPr>
        <w:t>南京工程学院</w:t>
      </w:r>
    </w:p>
    <w:p>
      <w:pPr>
        <w:adjustRightInd w:val="0"/>
        <w:snapToGrid w:val="0"/>
        <w:spacing w:line="600" w:lineRule="exact"/>
        <w:ind w:left="562"/>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走近机器人</w:t>
      </w:r>
    </w:p>
    <w:p>
      <w:pPr>
        <w:spacing w:line="600" w:lineRule="exact"/>
        <w:ind w:firstLine="562" w:firstLineChars="200"/>
        <w:rPr>
          <w:rFonts w:hint="default" w:ascii="仿宋_GB2312"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http://mooc1.chaoxing.com/course/240293683.html</w:t>
      </w:r>
    </w:p>
    <w:p>
      <w:pPr>
        <w:spacing w:line="600" w:lineRule="exact"/>
        <w:ind w:firstLine="562" w:firstLineChars="200"/>
        <w:rPr>
          <w:rFonts w:ascii="仿宋_GB2312" w:eastAsia="仿宋_GB2312"/>
          <w:bCs/>
          <w:sz w:val="28"/>
          <w:szCs w:val="28"/>
        </w:rPr>
      </w:pPr>
      <w:r>
        <w:rPr>
          <w:rFonts w:hint="eastAsia" w:ascii="仿宋_GB2312" w:eastAsia="仿宋_GB2312"/>
          <w:b/>
          <w:sz w:val="28"/>
          <w:szCs w:val="28"/>
        </w:rPr>
        <w:t>课程简介</w:t>
      </w:r>
      <w:r>
        <w:rPr>
          <w:rFonts w:hint="eastAsia" w:ascii="仿宋_GB2312" w:eastAsia="仿宋_GB2312"/>
          <w:b w:val="0"/>
          <w:bCs/>
          <w:sz w:val="28"/>
          <w:szCs w:val="28"/>
        </w:rPr>
        <w:t>：</w:t>
      </w:r>
      <w:r>
        <w:rPr>
          <w:rFonts w:hint="eastAsia" w:ascii="仿宋_GB2312" w:eastAsia="仿宋_GB2312"/>
          <w:bCs/>
          <w:color w:val="000000" w:themeColor="text1"/>
          <w:sz w:val="28"/>
          <w:szCs w:val="28"/>
          <w14:textFill>
            <w14:solidFill>
              <w14:schemeClr w14:val="tx1"/>
            </w14:solidFill>
          </w14:textFill>
        </w:rPr>
        <w:t>机器人是集机械、电子、控制、计算机、传感器、人工智能等多学科先进技术于一体的自动化装备，</w:t>
      </w:r>
      <w:r>
        <w:rPr>
          <w:rFonts w:hint="eastAsia" w:ascii="仿宋_GB2312" w:eastAsia="仿宋_GB2312"/>
          <w:bCs/>
          <w:sz w:val="28"/>
          <w:szCs w:val="28"/>
        </w:rPr>
        <w:t>是“制造业皇冠顶端的明珠”，它的研发、制造、应用是衡量一个国家科技创新和高端制造业水平的重要标志，代表未来智能装备产业的发展方向。创造出能够代替人去从事各种工作的机器人，是人类长期以来的愿望，随着科技的快速发展，机器人早已来到我们身边，人类正逐步迈入机器人时代！</w:t>
      </w:r>
    </w:p>
    <w:p>
      <w:pPr>
        <w:spacing w:line="600" w:lineRule="exact"/>
        <w:ind w:firstLine="560" w:firstLineChars="200"/>
        <w:rPr>
          <w:rFonts w:hint="eastAsia" w:ascii="仿宋_GB2312" w:eastAsia="仿宋_GB2312"/>
          <w:bCs/>
          <w:sz w:val="28"/>
          <w:szCs w:val="28"/>
        </w:rPr>
      </w:pPr>
      <w:r>
        <w:rPr>
          <w:rFonts w:hint="eastAsia" w:ascii="仿宋_GB2312" w:eastAsia="仿宋_GB2312"/>
          <w:bCs/>
          <w:sz w:val="28"/>
          <w:szCs w:val="28"/>
        </w:rPr>
        <w:t>《走近机器人》这门课程，将向同学们展示丰富多彩的机器人世界！课程将分为两个篇章，第一篇章从固定式机器人和移动式机器人两大类介绍机器人相关知识。第二篇章按照机器人的应用领域，介绍机器人在各行各业的典型应用，主要包括工业机器人、服务机器人，以及特种机器人。机器人领域相关技术的发展日新月异，各种各样的机器人正在深刻改变着人类的生产和生活方式，让我们一起走近机器人世界，了解千姿百态的机器人！</w:t>
      </w:r>
    </w:p>
    <w:p>
      <w:pPr>
        <w:spacing w:line="600" w:lineRule="exact"/>
        <w:ind w:firstLine="562" w:firstLineChars="200"/>
        <w:rPr>
          <w:rFonts w:hint="eastAsia" w:ascii="仿宋_GB2312" w:eastAsia="仿宋_GB2312"/>
          <w:bCs/>
          <w:sz w:val="28"/>
          <w:szCs w:val="28"/>
        </w:rPr>
      </w:pPr>
      <w:r>
        <w:rPr>
          <w:rFonts w:hint="eastAsia" w:ascii="Times New Roman" w:hAnsi="Times New Roman" w:eastAsia="仿宋_GB2312"/>
          <w:b/>
          <w:bCs/>
          <w:sz w:val="28"/>
          <w:szCs w:val="28"/>
          <w:lang w:eastAsia="zh-CN"/>
        </w:rPr>
        <w:t>学习要求</w:t>
      </w:r>
      <w:r>
        <w:rPr>
          <w:rFonts w:hint="eastAsia" w:ascii="Times New Roman" w:hAnsi="Times New Roman" w:eastAsia="仿宋_GB2312"/>
          <w:b w:val="0"/>
          <w:bCs w:val="0"/>
          <w:sz w:val="28"/>
          <w:szCs w:val="28"/>
          <w:lang w:eastAsia="zh-CN"/>
        </w:rPr>
        <w:t>：</w:t>
      </w:r>
    </w:p>
    <w:p>
      <w:pPr>
        <w:adjustRightInd w:val="0"/>
        <w:snapToGrid w:val="0"/>
        <w:spacing w:line="600" w:lineRule="exact"/>
        <w:ind w:left="562"/>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2</w:t>
      </w:r>
      <w:r>
        <w:rPr>
          <w:rFonts w:ascii="Times New Roman" w:hAnsi="Times New Roman" w:eastAsia="黑体"/>
          <w:b/>
          <w:sz w:val="28"/>
          <w:szCs w:val="28"/>
        </w:rPr>
        <w:t>.</w:t>
      </w:r>
      <w:r>
        <w:rPr>
          <w:rFonts w:hint="eastAsia" w:ascii="Times New Roman" w:hAnsi="Times New Roman" w:eastAsia="黑体"/>
          <w:b/>
          <w:sz w:val="28"/>
          <w:szCs w:val="28"/>
        </w:rPr>
        <w:t>智造系统大数据分析导论</w:t>
      </w:r>
    </w:p>
    <w:p>
      <w:pPr>
        <w:spacing w:line="600" w:lineRule="exact"/>
        <w:ind w:firstLine="562" w:firstLineChars="200"/>
        <w:jc w:val="left"/>
        <w:rPr>
          <w:rFonts w:hint="default" w:ascii="仿宋_GB2312" w:eastAsia="仿宋_GB2312"/>
          <w:b/>
          <w:sz w:val="28"/>
          <w:szCs w:val="28"/>
        </w:rPr>
      </w:pPr>
      <w:r>
        <w:rPr>
          <w:rFonts w:hint="eastAsia" w:ascii="Times New Roman" w:hAnsi="Times New Roman" w:eastAsia="仿宋_GB2312"/>
          <w:b/>
          <w:bCs/>
          <w:sz w:val="28"/>
          <w:szCs w:val="28"/>
          <w:lang w:eastAsia="zh-CN"/>
        </w:rPr>
        <w:t>课程网址</w:t>
      </w:r>
      <w:r>
        <w:rPr>
          <w:rFonts w:hint="eastAsia" w:ascii="Times New Roman" w:hAnsi="Times New Roman" w:eastAsia="仿宋_GB2312"/>
          <w:b w:val="0"/>
          <w:bCs w:val="0"/>
          <w:sz w:val="28"/>
          <w:szCs w:val="28"/>
          <w:lang w:eastAsia="zh-CN"/>
        </w:rPr>
        <w:t>：</w:t>
      </w:r>
      <w:r>
        <w:rPr>
          <w:rFonts w:hint="default" w:ascii="Times New Roman" w:hAnsi="Times New Roman" w:eastAsia="仿宋_GB2312"/>
          <w:b w:val="0"/>
          <w:bCs w:val="0"/>
          <w:sz w:val="28"/>
          <w:szCs w:val="28"/>
          <w:lang w:eastAsia="zh-CN"/>
        </w:rPr>
        <w:t>https://mooc1.chaoxing.com/mooc-ans/course/240296062.html</w:t>
      </w:r>
    </w:p>
    <w:p>
      <w:pPr>
        <w:spacing w:line="600" w:lineRule="exact"/>
        <w:ind w:firstLine="562" w:firstLineChars="200"/>
        <w:rPr>
          <w:rFonts w:hint="eastAsia" w:ascii="仿宋_GB2312" w:eastAsia="仿宋_GB2312"/>
          <w:sz w:val="28"/>
          <w:szCs w:val="28"/>
        </w:rPr>
      </w:pPr>
      <w:r>
        <w:rPr>
          <w:rFonts w:hint="eastAsia" w:ascii="仿宋_GB2312" w:eastAsia="仿宋_GB2312"/>
          <w:b/>
          <w:sz w:val="28"/>
          <w:szCs w:val="28"/>
        </w:rPr>
        <w:t>课程简介</w:t>
      </w:r>
      <w:r>
        <w:rPr>
          <w:rFonts w:hint="eastAsia" w:ascii="仿宋_GB2312" w:eastAsia="仿宋_GB2312"/>
          <w:b w:val="0"/>
          <w:bCs/>
          <w:sz w:val="28"/>
          <w:szCs w:val="28"/>
        </w:rPr>
        <w:t>：</w:t>
      </w:r>
      <w:r>
        <w:rPr>
          <w:rFonts w:hint="eastAsia" w:ascii="仿宋_GB2312" w:eastAsia="仿宋_GB2312"/>
          <w:sz w:val="28"/>
          <w:szCs w:val="28"/>
        </w:rPr>
        <w:t>本课程是机械类各专业的选修通识课程，该课程是为学生搭建起通向“大数据知识空间”的桥梁和纽带，以“构建知识体系、阐明基本原理、掌握相关应用、引导初级实践”为原则，为学生在智能制造业大数据领域“深耕细作”奠定基础、指明方向。课程分三个模块，讲授智能制造系统中的大数据基本理论、大数据分析基本算法及大数据技术应用。重点讲解大数据技术的基本理论、相关技术及大数据基本算法，结合大数据技术的算法实践，通过项目案例的讲解，培养学生理论与实践结合、加强实践动手的能力和创新意识能力。</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797936"/>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DF94C"/>
    <w:multiLevelType w:val="singleLevel"/>
    <w:tmpl w:val="BECDF94C"/>
    <w:lvl w:ilvl="0" w:tentative="0">
      <w:start w:val="4"/>
      <w:numFmt w:val="chineseCounting"/>
      <w:lvlText w:val="%1、"/>
      <w:lvlJc w:val="left"/>
      <w:pPr>
        <w:ind w:left="440" w:hanging="440"/>
      </w:pPr>
      <w:rPr>
        <w:rFonts w:hint="eastAsia"/>
      </w:rPr>
    </w:lvl>
  </w:abstractNum>
  <w:abstractNum w:abstractNumId="1">
    <w:nsid w:val="D4015F23"/>
    <w:multiLevelType w:val="singleLevel"/>
    <w:tmpl w:val="D4015F23"/>
    <w:lvl w:ilvl="0" w:tentative="0">
      <w:start w:val="1"/>
      <w:numFmt w:val="decimal"/>
      <w:suff w:val="space"/>
      <w:lvlText w:val="%1."/>
      <w:lvlJc w:val="left"/>
    </w:lvl>
  </w:abstractNum>
  <w:abstractNum w:abstractNumId="2">
    <w:nsid w:val="E7126E18"/>
    <w:multiLevelType w:val="singleLevel"/>
    <w:tmpl w:val="E7126E18"/>
    <w:lvl w:ilvl="0" w:tentative="0">
      <w:start w:val="1"/>
      <w:numFmt w:val="decimal"/>
      <w:suff w:val="space"/>
      <w:lvlText w:val="%1."/>
      <w:lvlJc w:val="left"/>
    </w:lvl>
  </w:abstractNum>
  <w:abstractNum w:abstractNumId="3">
    <w:nsid w:val="F6F37FD0"/>
    <w:multiLevelType w:val="singleLevel"/>
    <w:tmpl w:val="F6F37FD0"/>
    <w:lvl w:ilvl="0" w:tentative="0">
      <w:start w:val="1"/>
      <w:numFmt w:val="decimal"/>
      <w:suff w:val="nothing"/>
      <w:lvlText w:val="%1．"/>
      <w:lvlJc w:val="left"/>
    </w:lvl>
  </w:abstractNum>
  <w:abstractNum w:abstractNumId="4">
    <w:nsid w:val="F780D4B8"/>
    <w:multiLevelType w:val="singleLevel"/>
    <w:tmpl w:val="F780D4B8"/>
    <w:lvl w:ilvl="0" w:tentative="0">
      <w:start w:val="1"/>
      <w:numFmt w:val="decimal"/>
      <w:suff w:val="space"/>
      <w:lvlText w:val="%1."/>
      <w:lvlJc w:val="left"/>
      <w:pPr>
        <w:ind w:left="630"/>
      </w:pPr>
    </w:lvl>
  </w:abstractNum>
  <w:abstractNum w:abstractNumId="5">
    <w:nsid w:val="03DAAFD4"/>
    <w:multiLevelType w:val="singleLevel"/>
    <w:tmpl w:val="03DAAFD4"/>
    <w:lvl w:ilvl="0" w:tentative="0">
      <w:start w:val="1"/>
      <w:numFmt w:val="decimal"/>
      <w:suff w:val="space"/>
      <w:lvlText w:val="%1."/>
      <w:lvlJc w:val="left"/>
    </w:lvl>
  </w:abstractNum>
  <w:abstractNum w:abstractNumId="6">
    <w:nsid w:val="1AD08BA4"/>
    <w:multiLevelType w:val="singleLevel"/>
    <w:tmpl w:val="1AD08BA4"/>
    <w:lvl w:ilvl="0" w:tentative="0">
      <w:start w:val="2"/>
      <w:numFmt w:val="decimal"/>
      <w:suff w:val="space"/>
      <w:lvlText w:val="%1."/>
      <w:lvlJc w:val="left"/>
    </w:lvl>
  </w:abstractNum>
  <w:abstractNum w:abstractNumId="7">
    <w:nsid w:val="29335BEC"/>
    <w:multiLevelType w:val="singleLevel"/>
    <w:tmpl w:val="29335BEC"/>
    <w:lvl w:ilvl="0" w:tentative="0">
      <w:start w:val="1"/>
      <w:numFmt w:val="decimal"/>
      <w:suff w:val="space"/>
      <w:lvlText w:val="%1."/>
      <w:lvlJc w:val="left"/>
    </w:lvl>
  </w:abstractNum>
  <w:abstractNum w:abstractNumId="8">
    <w:nsid w:val="2D919798"/>
    <w:multiLevelType w:val="singleLevel"/>
    <w:tmpl w:val="2D919798"/>
    <w:lvl w:ilvl="0" w:tentative="0">
      <w:start w:val="1"/>
      <w:numFmt w:val="decimal"/>
      <w:suff w:val="space"/>
      <w:lvlText w:val="%1."/>
      <w:lvlJc w:val="left"/>
      <w:rPr>
        <w:rFonts w:hint="default"/>
        <w:b/>
        <w:bCs/>
      </w:rPr>
    </w:lvl>
  </w:abstractNum>
  <w:abstractNum w:abstractNumId="9">
    <w:nsid w:val="33983578"/>
    <w:multiLevelType w:val="singleLevel"/>
    <w:tmpl w:val="33983578"/>
    <w:lvl w:ilvl="0" w:tentative="0">
      <w:start w:val="1"/>
      <w:numFmt w:val="decimal"/>
      <w:suff w:val="space"/>
      <w:lvlText w:val="%1."/>
      <w:lvlJc w:val="left"/>
    </w:lvl>
  </w:abstractNum>
  <w:abstractNum w:abstractNumId="10">
    <w:nsid w:val="4164BF9A"/>
    <w:multiLevelType w:val="singleLevel"/>
    <w:tmpl w:val="4164BF9A"/>
    <w:lvl w:ilvl="0" w:tentative="0">
      <w:start w:val="1"/>
      <w:numFmt w:val="decimal"/>
      <w:suff w:val="nothing"/>
      <w:lvlText w:val="%1"/>
      <w:lvlJc w:val="left"/>
      <w:pPr>
        <w:ind w:left="384" w:hanging="384"/>
      </w:pPr>
      <w:rPr>
        <w:rFonts w:hint="default"/>
      </w:rPr>
    </w:lvl>
  </w:abstractNum>
  <w:num w:numId="1">
    <w:abstractNumId w:val="10"/>
  </w:num>
  <w:num w:numId="2">
    <w:abstractNumId w:val="2"/>
  </w:num>
  <w:num w:numId="3">
    <w:abstractNumId w:val="3"/>
  </w:num>
  <w:num w:numId="4">
    <w:abstractNumId w:val="0"/>
  </w:num>
  <w:num w:numId="5">
    <w:abstractNumId w:val="8"/>
  </w:num>
  <w:num w:numId="6">
    <w:abstractNumId w:val="1"/>
  </w:num>
  <w:num w:numId="7">
    <w:abstractNumId w:val="5"/>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MTFkZWY1YTIxODFmNWU5MDhlNzhkNDhjZTRlODYifQ=="/>
  </w:docVars>
  <w:rsids>
    <w:rsidRoot w:val="00F73CE2"/>
    <w:rsid w:val="0000753E"/>
    <w:rsid w:val="00143BB4"/>
    <w:rsid w:val="001A72C3"/>
    <w:rsid w:val="001F7F74"/>
    <w:rsid w:val="002242B8"/>
    <w:rsid w:val="002D6BE6"/>
    <w:rsid w:val="002E338E"/>
    <w:rsid w:val="002F3ACD"/>
    <w:rsid w:val="00386FEE"/>
    <w:rsid w:val="003C32AF"/>
    <w:rsid w:val="004A1F23"/>
    <w:rsid w:val="005662B4"/>
    <w:rsid w:val="006D26AB"/>
    <w:rsid w:val="008147AB"/>
    <w:rsid w:val="00847503"/>
    <w:rsid w:val="00967538"/>
    <w:rsid w:val="009A4A34"/>
    <w:rsid w:val="009D0D43"/>
    <w:rsid w:val="00A101B0"/>
    <w:rsid w:val="00A56F7B"/>
    <w:rsid w:val="00AF258F"/>
    <w:rsid w:val="00B02BEC"/>
    <w:rsid w:val="00C11A58"/>
    <w:rsid w:val="00C55FDB"/>
    <w:rsid w:val="00D41559"/>
    <w:rsid w:val="00D85A87"/>
    <w:rsid w:val="00F60154"/>
    <w:rsid w:val="00F73CE2"/>
    <w:rsid w:val="00FA0A63"/>
    <w:rsid w:val="016D741F"/>
    <w:rsid w:val="024912E2"/>
    <w:rsid w:val="03072A7B"/>
    <w:rsid w:val="034D32D6"/>
    <w:rsid w:val="03D01A9E"/>
    <w:rsid w:val="05FB7A6F"/>
    <w:rsid w:val="067357C7"/>
    <w:rsid w:val="0A3B4E8B"/>
    <w:rsid w:val="0ABD1B00"/>
    <w:rsid w:val="0D855666"/>
    <w:rsid w:val="0EA855E3"/>
    <w:rsid w:val="14726477"/>
    <w:rsid w:val="16AC1597"/>
    <w:rsid w:val="16C56EBA"/>
    <w:rsid w:val="1ADB114A"/>
    <w:rsid w:val="1AFFC60A"/>
    <w:rsid w:val="1B121F14"/>
    <w:rsid w:val="1DFFE002"/>
    <w:rsid w:val="201371C1"/>
    <w:rsid w:val="2123660A"/>
    <w:rsid w:val="22596EC8"/>
    <w:rsid w:val="226F64BD"/>
    <w:rsid w:val="235A194D"/>
    <w:rsid w:val="24066BDB"/>
    <w:rsid w:val="2572AE84"/>
    <w:rsid w:val="25A01FAB"/>
    <w:rsid w:val="25D9690F"/>
    <w:rsid w:val="274517C9"/>
    <w:rsid w:val="27B76A6F"/>
    <w:rsid w:val="2ABF510E"/>
    <w:rsid w:val="2DA83C95"/>
    <w:rsid w:val="2EA7534A"/>
    <w:rsid w:val="2F1A44FF"/>
    <w:rsid w:val="2F293469"/>
    <w:rsid w:val="2F675582"/>
    <w:rsid w:val="31274354"/>
    <w:rsid w:val="325204ED"/>
    <w:rsid w:val="38BB662F"/>
    <w:rsid w:val="3A8847A8"/>
    <w:rsid w:val="3E63A3F7"/>
    <w:rsid w:val="3EF94BF6"/>
    <w:rsid w:val="3F9E9461"/>
    <w:rsid w:val="40436B1E"/>
    <w:rsid w:val="40E91D97"/>
    <w:rsid w:val="428E21FC"/>
    <w:rsid w:val="42D068DB"/>
    <w:rsid w:val="43433945"/>
    <w:rsid w:val="4468725A"/>
    <w:rsid w:val="4673547E"/>
    <w:rsid w:val="46AF03ED"/>
    <w:rsid w:val="46F926E2"/>
    <w:rsid w:val="47E7E1E4"/>
    <w:rsid w:val="4B7F2976"/>
    <w:rsid w:val="4D090D2E"/>
    <w:rsid w:val="4EC618A0"/>
    <w:rsid w:val="4F1D072E"/>
    <w:rsid w:val="4FD4044A"/>
    <w:rsid w:val="4FEE640B"/>
    <w:rsid w:val="502838B2"/>
    <w:rsid w:val="5147763A"/>
    <w:rsid w:val="518D6FA1"/>
    <w:rsid w:val="55054CF5"/>
    <w:rsid w:val="551165B5"/>
    <w:rsid w:val="56251471"/>
    <w:rsid w:val="56BD8A9C"/>
    <w:rsid w:val="58B55EFF"/>
    <w:rsid w:val="5AFA93B3"/>
    <w:rsid w:val="5CDD7DC4"/>
    <w:rsid w:val="5EFE545D"/>
    <w:rsid w:val="5F144127"/>
    <w:rsid w:val="5FC609F2"/>
    <w:rsid w:val="5FEB56F6"/>
    <w:rsid w:val="5FEE3182"/>
    <w:rsid w:val="5FF576AF"/>
    <w:rsid w:val="5FFD79E5"/>
    <w:rsid w:val="628D1193"/>
    <w:rsid w:val="62A56FE4"/>
    <w:rsid w:val="63061303"/>
    <w:rsid w:val="646130A5"/>
    <w:rsid w:val="648F5856"/>
    <w:rsid w:val="65225CAE"/>
    <w:rsid w:val="65DF2260"/>
    <w:rsid w:val="68E65C61"/>
    <w:rsid w:val="697C71FF"/>
    <w:rsid w:val="69DE055C"/>
    <w:rsid w:val="6A8816A4"/>
    <w:rsid w:val="6B254513"/>
    <w:rsid w:val="6D5FA170"/>
    <w:rsid w:val="6DC17E85"/>
    <w:rsid w:val="6DDFBA51"/>
    <w:rsid w:val="6EBD4712"/>
    <w:rsid w:val="6F7E81CA"/>
    <w:rsid w:val="6FBA04C9"/>
    <w:rsid w:val="6FD755D0"/>
    <w:rsid w:val="6FFEA7DD"/>
    <w:rsid w:val="737D5A82"/>
    <w:rsid w:val="7545845D"/>
    <w:rsid w:val="75D50E16"/>
    <w:rsid w:val="75FC671E"/>
    <w:rsid w:val="767374C4"/>
    <w:rsid w:val="773D7C83"/>
    <w:rsid w:val="77DEAA98"/>
    <w:rsid w:val="77E90635"/>
    <w:rsid w:val="786B2CF5"/>
    <w:rsid w:val="78E82BA9"/>
    <w:rsid w:val="79B567AF"/>
    <w:rsid w:val="7AFF3D82"/>
    <w:rsid w:val="7B570A59"/>
    <w:rsid w:val="7B717838"/>
    <w:rsid w:val="7BBF6024"/>
    <w:rsid w:val="7BCF714D"/>
    <w:rsid w:val="7BDD4C4C"/>
    <w:rsid w:val="7BEBC0E9"/>
    <w:rsid w:val="7BEC3D72"/>
    <w:rsid w:val="7BFF7047"/>
    <w:rsid w:val="7C5D61CE"/>
    <w:rsid w:val="7DAA64BA"/>
    <w:rsid w:val="7DDFAB28"/>
    <w:rsid w:val="7DF3E919"/>
    <w:rsid w:val="7DFFC042"/>
    <w:rsid w:val="7E4D3F03"/>
    <w:rsid w:val="7F171F5F"/>
    <w:rsid w:val="7F3C9183"/>
    <w:rsid w:val="7F4F6C89"/>
    <w:rsid w:val="7F5E97E9"/>
    <w:rsid w:val="7F8B2F8B"/>
    <w:rsid w:val="7FAFFA17"/>
    <w:rsid w:val="7FD76118"/>
    <w:rsid w:val="7FDD63A0"/>
    <w:rsid w:val="7FDFE30A"/>
    <w:rsid w:val="7FEBB428"/>
    <w:rsid w:val="7FEE62D4"/>
    <w:rsid w:val="7FFE064A"/>
    <w:rsid w:val="7FFF3FAC"/>
    <w:rsid w:val="7FFFF876"/>
    <w:rsid w:val="8FB6044F"/>
    <w:rsid w:val="93DD94F9"/>
    <w:rsid w:val="9BFF180A"/>
    <w:rsid w:val="9E7E36B3"/>
    <w:rsid w:val="9FFDB19D"/>
    <w:rsid w:val="9FFE9407"/>
    <w:rsid w:val="ABFEC5EC"/>
    <w:rsid w:val="AFFD1426"/>
    <w:rsid w:val="B46F6775"/>
    <w:rsid w:val="B5EF79F8"/>
    <w:rsid w:val="B66F2C8E"/>
    <w:rsid w:val="BE39317C"/>
    <w:rsid w:val="BF76B36F"/>
    <w:rsid w:val="BF7BDB0A"/>
    <w:rsid w:val="BFCDCEB0"/>
    <w:rsid w:val="BFFF6658"/>
    <w:rsid w:val="C3EF4012"/>
    <w:rsid w:val="C5EF2605"/>
    <w:rsid w:val="CFFE156B"/>
    <w:rsid w:val="D5F85830"/>
    <w:rsid w:val="D5FF519F"/>
    <w:rsid w:val="DB7D24EA"/>
    <w:rsid w:val="DBFB6276"/>
    <w:rsid w:val="DDFFBD3B"/>
    <w:rsid w:val="DF36A073"/>
    <w:rsid w:val="DF4EF536"/>
    <w:rsid w:val="DFEFBB93"/>
    <w:rsid w:val="DFF6348D"/>
    <w:rsid w:val="E63F88D6"/>
    <w:rsid w:val="E6EFDA7A"/>
    <w:rsid w:val="E7B73E10"/>
    <w:rsid w:val="EAD5705E"/>
    <w:rsid w:val="EDB337F2"/>
    <w:rsid w:val="EEB7E454"/>
    <w:rsid w:val="EEF735A8"/>
    <w:rsid w:val="EF3F61AF"/>
    <w:rsid w:val="EF9E5F34"/>
    <w:rsid w:val="EFCCB940"/>
    <w:rsid w:val="EFDFA457"/>
    <w:rsid w:val="F1FE954F"/>
    <w:rsid w:val="F3B74ACA"/>
    <w:rsid w:val="F3FED248"/>
    <w:rsid w:val="F4F92459"/>
    <w:rsid w:val="F5E5F284"/>
    <w:rsid w:val="F72E8DCE"/>
    <w:rsid w:val="F77B131F"/>
    <w:rsid w:val="F7CF83FB"/>
    <w:rsid w:val="F7F7F644"/>
    <w:rsid w:val="F9DDB355"/>
    <w:rsid w:val="FA9FD1A1"/>
    <w:rsid w:val="FAEF1157"/>
    <w:rsid w:val="FB1DD49D"/>
    <w:rsid w:val="FB5FCAA1"/>
    <w:rsid w:val="FB770E07"/>
    <w:rsid w:val="FB7D2CE3"/>
    <w:rsid w:val="FB7F1B58"/>
    <w:rsid w:val="FBAEA5BF"/>
    <w:rsid w:val="FBFB7247"/>
    <w:rsid w:val="FBFF0696"/>
    <w:rsid w:val="FCDF03FA"/>
    <w:rsid w:val="FDBFF255"/>
    <w:rsid w:val="FDFF3253"/>
    <w:rsid w:val="FE9BA67B"/>
    <w:rsid w:val="FEFEC5CB"/>
    <w:rsid w:val="FEFFF407"/>
    <w:rsid w:val="FF1E2325"/>
    <w:rsid w:val="FF4D0558"/>
    <w:rsid w:val="FF6EF27D"/>
    <w:rsid w:val="FF77A322"/>
    <w:rsid w:val="FF9F833B"/>
    <w:rsid w:val="FFDBF88A"/>
    <w:rsid w:val="FFF2B860"/>
    <w:rsid w:val="FFF71311"/>
    <w:rsid w:val="FFFE4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autoRedefine/>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0">
    <w:name w:val="Hyperlink"/>
    <w:basedOn w:val="9"/>
    <w:qFormat/>
    <w:uiPriority w:val="0"/>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框文本 字符"/>
    <w:basedOn w:val="9"/>
    <w:link w:val="3"/>
    <w:autoRedefine/>
    <w:semiHidden/>
    <w:qFormat/>
    <w:uiPriority w:val="99"/>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99"/>
    <w:rPr>
      <w:sz w:val="18"/>
      <w:szCs w:val="18"/>
    </w:rPr>
  </w:style>
  <w:style w:type="character" w:customStyle="1" w:styleId="14">
    <w:name w:val="页眉 字符"/>
    <w:basedOn w:val="9"/>
    <w:link w:val="5"/>
    <w:autoRedefine/>
    <w:qFormat/>
    <w:uiPriority w:val="99"/>
    <w:rPr>
      <w:sz w:val="18"/>
      <w:szCs w:val="18"/>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494</Words>
  <Characters>2820</Characters>
  <Lines>23</Lines>
  <Paragraphs>6</Paragraphs>
  <TotalTime>9</TotalTime>
  <ScaleCrop>false</ScaleCrop>
  <LinksUpToDate>false</LinksUpToDate>
  <CharactersWithSpaces>3308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2023-12-06T07:11:00Z</dcterms:created>
  <dc:creator>DELL</dc:creator>
  <cp:lastModifiedBy>葛子济</cp:lastModifiedBy>
  <dcterms:modified xsi:type="dcterms:W3CDTF">2024-03-07T06:32:48Z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9009B5FFE9C846E980FE3754E1F3624E_13</vt:lpwstr>
  </property>
</Properties>
</file>